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2974" w:rsidRDefault="00802974" w:rsidP="008029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:rsidR="00802974" w:rsidRDefault="00802974" w:rsidP="008029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:rsidR="00802974" w:rsidRDefault="00802974" w:rsidP="008029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:rsidR="00802974" w:rsidRDefault="00802974" w:rsidP="008029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:rsidR="00802974" w:rsidRDefault="00802974" w:rsidP="008029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:rsidR="00802974" w:rsidRDefault="00802974" w:rsidP="008029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:rsidR="00802974" w:rsidRPr="00802974" w:rsidRDefault="00802974" w:rsidP="00802974">
      <w:pPr>
        <w:spacing w:after="0" w:line="240" w:lineRule="auto"/>
        <w:jc w:val="center"/>
        <w:rPr>
          <w:rFonts w:ascii="Tahoma" w:eastAsia="Times New Roman" w:hAnsi="Tahoma" w:cs="Tahoma"/>
          <w:b/>
          <w:bCs/>
          <w:sz w:val="23"/>
          <w:szCs w:val="23"/>
          <w:lang w:eastAsia="pt-BR"/>
        </w:rPr>
      </w:pPr>
      <w:bookmarkStart w:id="0" w:name="_GoBack"/>
      <w:bookmarkEnd w:id="0"/>
    </w:p>
    <w:p w:rsidR="00802974" w:rsidRPr="00802974" w:rsidRDefault="00802974" w:rsidP="00802974">
      <w:pPr>
        <w:spacing w:after="0" w:line="240" w:lineRule="auto"/>
        <w:jc w:val="center"/>
        <w:rPr>
          <w:rFonts w:ascii="Tahoma" w:eastAsia="Times New Roman" w:hAnsi="Tahoma" w:cs="Tahoma"/>
          <w:b/>
          <w:bCs/>
          <w:sz w:val="23"/>
          <w:szCs w:val="23"/>
          <w:lang w:eastAsia="pt-BR"/>
        </w:rPr>
      </w:pPr>
      <w:r w:rsidRPr="00802974">
        <w:rPr>
          <w:rFonts w:ascii="Tahoma" w:eastAsia="Times New Roman" w:hAnsi="Tahoma" w:cs="Tahoma"/>
          <w:b/>
          <w:bCs/>
          <w:sz w:val="23"/>
          <w:szCs w:val="23"/>
          <w:lang w:eastAsia="pt-BR"/>
        </w:rPr>
        <w:t>INDICAÇÃO N.º 129/2025</w:t>
      </w:r>
    </w:p>
    <w:p w:rsidR="00802974" w:rsidRPr="00802974" w:rsidRDefault="00802974" w:rsidP="00802974">
      <w:pPr>
        <w:spacing w:after="0" w:line="240" w:lineRule="auto"/>
        <w:jc w:val="center"/>
        <w:rPr>
          <w:rFonts w:ascii="Tahoma" w:eastAsia="Times New Roman" w:hAnsi="Tahoma" w:cs="Tahoma"/>
          <w:b/>
          <w:bCs/>
          <w:sz w:val="23"/>
          <w:szCs w:val="23"/>
          <w:lang w:eastAsia="pt-BR"/>
        </w:rPr>
      </w:pPr>
      <w:r w:rsidRPr="00802974">
        <w:rPr>
          <w:rFonts w:ascii="Tahoma" w:eastAsia="Times New Roman" w:hAnsi="Tahoma" w:cs="Tahoma"/>
          <w:b/>
          <w:bCs/>
          <w:sz w:val="23"/>
          <w:szCs w:val="23"/>
          <w:lang w:eastAsia="pt-BR"/>
        </w:rPr>
        <w:t>Cláudio do Carmo/PSD</w:t>
      </w:r>
    </w:p>
    <w:p w:rsidR="00802974" w:rsidRDefault="00802974" w:rsidP="00802974">
      <w:pPr>
        <w:spacing w:before="100" w:beforeAutospacing="1" w:after="100" w:afterAutospacing="1" w:line="240" w:lineRule="auto"/>
        <w:ind w:left="3686"/>
        <w:jc w:val="both"/>
        <w:rPr>
          <w:rFonts w:ascii="Tahoma" w:eastAsia="Times New Roman" w:hAnsi="Tahoma" w:cs="Tahoma"/>
          <w:sz w:val="23"/>
          <w:szCs w:val="23"/>
          <w:lang w:eastAsia="pt-BR"/>
        </w:rPr>
      </w:pPr>
    </w:p>
    <w:p w:rsidR="00802974" w:rsidRDefault="00802974" w:rsidP="00802974">
      <w:pPr>
        <w:spacing w:before="100" w:beforeAutospacing="1" w:after="100" w:afterAutospacing="1" w:line="240" w:lineRule="auto"/>
        <w:ind w:left="4395" w:hanging="709"/>
        <w:jc w:val="both"/>
        <w:rPr>
          <w:rFonts w:ascii="Tahoma" w:eastAsia="Times New Roman" w:hAnsi="Tahoma" w:cs="Tahoma"/>
          <w:b/>
          <w:bCs/>
          <w:sz w:val="23"/>
          <w:szCs w:val="23"/>
          <w:lang w:eastAsia="pt-BR"/>
        </w:rPr>
      </w:pPr>
      <w:r w:rsidRPr="00802974">
        <w:rPr>
          <w:rFonts w:ascii="Tahoma" w:eastAsia="Times New Roman" w:hAnsi="Tahoma" w:cs="Tahoma"/>
          <w:sz w:val="23"/>
          <w:szCs w:val="23"/>
          <w:lang w:eastAsia="pt-BR"/>
        </w:rPr>
        <w:br/>
      </w:r>
      <w:r w:rsidRPr="00802974">
        <w:rPr>
          <w:rFonts w:ascii="Tahoma" w:eastAsia="Times New Roman" w:hAnsi="Tahoma" w:cs="Tahoma"/>
          <w:b/>
          <w:bCs/>
          <w:sz w:val="23"/>
          <w:szCs w:val="23"/>
          <w:lang w:eastAsia="pt-BR"/>
        </w:rPr>
        <w:t>Indica ao Executivo Municipal a criação da Câmara de Mediação e Conciliação, nos termos do art. 174 do CPC e da Lei n.º 13.140/2015.</w:t>
      </w:r>
    </w:p>
    <w:p w:rsidR="00802974" w:rsidRPr="00802974" w:rsidRDefault="00802974" w:rsidP="00802974">
      <w:pPr>
        <w:spacing w:before="100" w:beforeAutospacing="1" w:after="100" w:afterAutospacing="1" w:line="240" w:lineRule="auto"/>
        <w:ind w:left="3686"/>
        <w:jc w:val="both"/>
        <w:rPr>
          <w:rFonts w:ascii="Tahoma" w:eastAsia="Times New Roman" w:hAnsi="Tahoma" w:cs="Tahoma"/>
          <w:sz w:val="23"/>
          <w:szCs w:val="23"/>
          <w:lang w:eastAsia="pt-BR"/>
        </w:rPr>
      </w:pPr>
    </w:p>
    <w:p w:rsidR="00802974" w:rsidRPr="00802974" w:rsidRDefault="00802974" w:rsidP="00802974">
      <w:pPr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sz w:val="23"/>
          <w:szCs w:val="23"/>
          <w:lang w:eastAsia="pt-BR"/>
        </w:rPr>
      </w:pPr>
      <w:r w:rsidRPr="00802974">
        <w:rPr>
          <w:rFonts w:ascii="Tahoma" w:eastAsia="Times New Roman" w:hAnsi="Tahoma" w:cs="Tahoma"/>
          <w:sz w:val="23"/>
          <w:szCs w:val="23"/>
          <w:lang w:eastAsia="pt-BR"/>
        </w:rPr>
        <w:t xml:space="preserve">O Vereador </w:t>
      </w:r>
      <w:r w:rsidRPr="00802974">
        <w:rPr>
          <w:rFonts w:ascii="Tahoma" w:eastAsia="Times New Roman" w:hAnsi="Tahoma" w:cs="Tahoma"/>
          <w:bCs/>
          <w:sz w:val="23"/>
          <w:szCs w:val="23"/>
          <w:lang w:eastAsia="pt-BR"/>
        </w:rPr>
        <w:t>Cláudio do Carmo</w:t>
      </w:r>
      <w:r w:rsidRPr="00802974">
        <w:rPr>
          <w:rFonts w:ascii="Tahoma" w:eastAsia="Times New Roman" w:hAnsi="Tahoma" w:cs="Tahoma"/>
          <w:sz w:val="23"/>
          <w:szCs w:val="23"/>
          <w:lang w:eastAsia="pt-BR"/>
        </w:rPr>
        <w:t xml:space="preserve">, no uso de suas atribuições regimentais, </w:t>
      </w:r>
      <w:r w:rsidRPr="00802974">
        <w:rPr>
          <w:rFonts w:ascii="Tahoma" w:eastAsia="Times New Roman" w:hAnsi="Tahoma" w:cs="Tahoma"/>
          <w:bCs/>
          <w:sz w:val="23"/>
          <w:szCs w:val="23"/>
          <w:lang w:eastAsia="pt-BR"/>
        </w:rPr>
        <w:t>indica ao Poder Executivo Municipal</w:t>
      </w:r>
      <w:r w:rsidRPr="00802974">
        <w:rPr>
          <w:rFonts w:ascii="Tahoma" w:eastAsia="Times New Roman" w:hAnsi="Tahoma" w:cs="Tahoma"/>
          <w:sz w:val="23"/>
          <w:szCs w:val="23"/>
          <w:lang w:eastAsia="pt-BR"/>
        </w:rPr>
        <w:t xml:space="preserve"> que promova a criação da </w:t>
      </w:r>
      <w:r w:rsidRPr="00802974">
        <w:rPr>
          <w:rFonts w:ascii="Tahoma" w:eastAsia="Times New Roman" w:hAnsi="Tahoma" w:cs="Tahoma"/>
          <w:bCs/>
          <w:sz w:val="23"/>
          <w:szCs w:val="23"/>
          <w:lang w:eastAsia="pt-BR"/>
        </w:rPr>
        <w:t>Câmara de Mediação e Conciliação</w:t>
      </w:r>
      <w:r w:rsidRPr="00802974">
        <w:rPr>
          <w:rFonts w:ascii="Tahoma" w:eastAsia="Times New Roman" w:hAnsi="Tahoma" w:cs="Tahoma"/>
          <w:sz w:val="23"/>
          <w:szCs w:val="23"/>
          <w:lang w:eastAsia="pt-BR"/>
        </w:rPr>
        <w:t xml:space="preserve">, conforme previsto no </w:t>
      </w:r>
      <w:r w:rsidRPr="00802974">
        <w:rPr>
          <w:rFonts w:ascii="Tahoma" w:eastAsia="Times New Roman" w:hAnsi="Tahoma" w:cs="Tahoma"/>
          <w:bCs/>
          <w:sz w:val="23"/>
          <w:szCs w:val="23"/>
          <w:lang w:eastAsia="pt-BR"/>
        </w:rPr>
        <w:t>artigo 174 do Código de Processo Civil</w:t>
      </w:r>
      <w:r w:rsidRPr="00802974">
        <w:rPr>
          <w:rFonts w:ascii="Tahoma" w:eastAsia="Times New Roman" w:hAnsi="Tahoma" w:cs="Tahoma"/>
          <w:sz w:val="23"/>
          <w:szCs w:val="23"/>
          <w:lang w:eastAsia="pt-BR"/>
        </w:rPr>
        <w:t xml:space="preserve"> e na </w:t>
      </w:r>
      <w:r w:rsidRPr="00802974">
        <w:rPr>
          <w:rFonts w:ascii="Tahoma" w:eastAsia="Times New Roman" w:hAnsi="Tahoma" w:cs="Tahoma"/>
          <w:bCs/>
          <w:sz w:val="23"/>
          <w:szCs w:val="23"/>
          <w:lang w:eastAsia="pt-BR"/>
        </w:rPr>
        <w:t>Lei n.º 13.140/2015 (Lei de Mediação)</w:t>
      </w:r>
      <w:r w:rsidRPr="00802974">
        <w:rPr>
          <w:rFonts w:ascii="Tahoma" w:eastAsia="Times New Roman" w:hAnsi="Tahoma" w:cs="Tahoma"/>
          <w:sz w:val="23"/>
          <w:szCs w:val="23"/>
          <w:lang w:eastAsia="pt-BR"/>
        </w:rPr>
        <w:t>, destinada à solução consensual de conflitos no âmbito da Administração Pública Municipal.</w:t>
      </w:r>
    </w:p>
    <w:p w:rsidR="00802974" w:rsidRPr="00802974" w:rsidRDefault="00802974" w:rsidP="00802974">
      <w:pPr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b/>
          <w:bCs/>
          <w:sz w:val="23"/>
          <w:szCs w:val="23"/>
          <w:lang w:eastAsia="pt-BR"/>
        </w:rPr>
      </w:pPr>
      <w:r w:rsidRPr="00802974">
        <w:rPr>
          <w:rFonts w:ascii="Tahoma" w:eastAsia="Times New Roman" w:hAnsi="Tahoma" w:cs="Tahoma"/>
          <w:b/>
          <w:bCs/>
          <w:sz w:val="23"/>
          <w:szCs w:val="23"/>
          <w:lang w:eastAsia="pt-BR"/>
        </w:rPr>
        <w:t>JUSTIFICATIVA:</w:t>
      </w:r>
    </w:p>
    <w:p w:rsidR="00802974" w:rsidRDefault="00802974" w:rsidP="00802974">
      <w:pPr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sz w:val="23"/>
          <w:szCs w:val="23"/>
          <w:lang w:eastAsia="pt-BR"/>
        </w:rPr>
      </w:pPr>
      <w:r w:rsidRPr="00802974">
        <w:rPr>
          <w:rFonts w:ascii="Tahoma" w:eastAsia="Times New Roman" w:hAnsi="Tahoma" w:cs="Tahoma"/>
          <w:sz w:val="23"/>
          <w:szCs w:val="23"/>
          <w:lang w:eastAsia="pt-BR"/>
        </w:rPr>
        <w:t xml:space="preserve">A Câmara de Mediação e Conciliação constitui mecanismo legal de </w:t>
      </w:r>
      <w:proofErr w:type="spellStart"/>
      <w:r w:rsidRPr="00802974">
        <w:rPr>
          <w:rFonts w:ascii="Tahoma" w:eastAsia="Times New Roman" w:hAnsi="Tahoma" w:cs="Tahoma"/>
          <w:sz w:val="23"/>
          <w:szCs w:val="23"/>
          <w:lang w:eastAsia="pt-BR"/>
        </w:rPr>
        <w:t>autocomposição</w:t>
      </w:r>
      <w:proofErr w:type="spellEnd"/>
      <w:r w:rsidRPr="00802974">
        <w:rPr>
          <w:rFonts w:ascii="Tahoma" w:eastAsia="Times New Roman" w:hAnsi="Tahoma" w:cs="Tahoma"/>
          <w:sz w:val="23"/>
          <w:szCs w:val="23"/>
          <w:lang w:eastAsia="pt-BR"/>
        </w:rPr>
        <w:t xml:space="preserve"> que possibilita a resolução célere e eficiente de controvérsias administrativas. Além de cumprir determinação prevista na legislação federal, sua implementação proporciona benefícios concretos ao Município, como a redução de custos com demandas judiciais e precatórios, a solução de conflitos em prazos significativamente menores — cerca de 60 dias, em comparação com a média de quatro anos na via judicial — e o atendimento ao princípio constitucional da eficiência. A Lei de Mediação autoriza expressamente a utilização de métodos </w:t>
      </w:r>
      <w:proofErr w:type="spellStart"/>
      <w:r w:rsidRPr="00802974">
        <w:rPr>
          <w:rFonts w:ascii="Tahoma" w:eastAsia="Times New Roman" w:hAnsi="Tahoma" w:cs="Tahoma"/>
          <w:sz w:val="23"/>
          <w:szCs w:val="23"/>
          <w:lang w:eastAsia="pt-BR"/>
        </w:rPr>
        <w:t>autocompositivos</w:t>
      </w:r>
      <w:proofErr w:type="spellEnd"/>
      <w:r w:rsidRPr="00802974">
        <w:rPr>
          <w:rFonts w:ascii="Tahoma" w:eastAsia="Times New Roman" w:hAnsi="Tahoma" w:cs="Tahoma"/>
          <w:sz w:val="23"/>
          <w:szCs w:val="23"/>
          <w:lang w:eastAsia="pt-BR"/>
        </w:rPr>
        <w:t xml:space="preserve"> envolvendo direitos disponíveis e direitos indisponíveis que admitam transação, razão pela qual a adoção desse instrumento administrativo representa importante avanço institucional e modernização da gestão pública.</w:t>
      </w:r>
    </w:p>
    <w:p w:rsidR="00D6526F" w:rsidRDefault="00D6526F" w:rsidP="00802974">
      <w:pPr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sz w:val="23"/>
          <w:szCs w:val="23"/>
          <w:lang w:eastAsia="pt-BR"/>
        </w:rPr>
      </w:pPr>
    </w:p>
    <w:p w:rsidR="00802974" w:rsidRPr="00D6526F" w:rsidRDefault="00D6526F" w:rsidP="00D6526F">
      <w:pPr>
        <w:spacing w:before="100" w:beforeAutospacing="1" w:after="100" w:afterAutospacing="1" w:line="240" w:lineRule="auto"/>
        <w:jc w:val="right"/>
        <w:rPr>
          <w:rFonts w:ascii="Tahoma" w:eastAsia="Times New Roman" w:hAnsi="Tahoma" w:cs="Tahoma"/>
          <w:bCs/>
          <w:sz w:val="23"/>
          <w:szCs w:val="23"/>
          <w:lang w:eastAsia="pt-BR"/>
        </w:rPr>
      </w:pPr>
      <w:r w:rsidRPr="00D6526F">
        <w:rPr>
          <w:rFonts w:ascii="Tahoma" w:eastAsia="Times New Roman" w:hAnsi="Tahoma" w:cs="Tahoma"/>
          <w:bCs/>
          <w:sz w:val="23"/>
          <w:szCs w:val="23"/>
          <w:lang w:eastAsia="pt-BR"/>
        </w:rPr>
        <w:t>Plenário Laurindo Flávio Scopel, 19 de novembro de 2025.</w:t>
      </w:r>
    </w:p>
    <w:p w:rsidR="00802974" w:rsidRDefault="00802974" w:rsidP="00802974">
      <w:pPr>
        <w:spacing w:after="0" w:line="240" w:lineRule="auto"/>
        <w:jc w:val="center"/>
        <w:rPr>
          <w:rFonts w:ascii="Tahoma" w:eastAsia="Times New Roman" w:hAnsi="Tahoma" w:cs="Tahoma"/>
          <w:sz w:val="23"/>
          <w:szCs w:val="23"/>
          <w:lang w:eastAsia="pt-BR"/>
        </w:rPr>
      </w:pPr>
      <w:r w:rsidRPr="00802974">
        <w:rPr>
          <w:rFonts w:ascii="Tahoma" w:eastAsia="Times New Roman" w:hAnsi="Tahoma" w:cs="Tahoma"/>
          <w:b/>
          <w:bCs/>
          <w:sz w:val="23"/>
          <w:szCs w:val="23"/>
          <w:lang w:eastAsia="pt-BR"/>
        </w:rPr>
        <w:t>Cláudio do Carmo</w:t>
      </w:r>
    </w:p>
    <w:p w:rsidR="00802974" w:rsidRPr="00802974" w:rsidRDefault="00802974" w:rsidP="00802974">
      <w:pPr>
        <w:spacing w:after="0" w:line="240" w:lineRule="auto"/>
        <w:jc w:val="center"/>
        <w:rPr>
          <w:rFonts w:ascii="Tahoma" w:eastAsia="Times New Roman" w:hAnsi="Tahoma" w:cs="Tahoma"/>
          <w:sz w:val="23"/>
          <w:szCs w:val="23"/>
          <w:lang w:eastAsia="pt-BR"/>
        </w:rPr>
      </w:pPr>
      <w:r>
        <w:rPr>
          <w:rFonts w:ascii="Tahoma" w:eastAsia="Times New Roman" w:hAnsi="Tahoma" w:cs="Tahoma"/>
          <w:sz w:val="23"/>
          <w:szCs w:val="23"/>
          <w:lang w:eastAsia="pt-BR"/>
        </w:rPr>
        <w:t>Vereador/PSD</w:t>
      </w:r>
    </w:p>
    <w:p w:rsidR="00802974" w:rsidRPr="00802974" w:rsidRDefault="00802974" w:rsidP="00802974">
      <w:pPr>
        <w:spacing w:after="0" w:line="240" w:lineRule="auto"/>
        <w:rPr>
          <w:rFonts w:ascii="Tahoma" w:eastAsia="Times New Roman" w:hAnsi="Tahoma" w:cs="Tahoma"/>
          <w:sz w:val="23"/>
          <w:szCs w:val="23"/>
          <w:lang w:eastAsia="pt-BR"/>
        </w:rPr>
      </w:pPr>
    </w:p>
    <w:sectPr w:rsidR="00802974" w:rsidRPr="0080297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2974"/>
    <w:rsid w:val="00413232"/>
    <w:rsid w:val="00802974"/>
    <w:rsid w:val="00D652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DAF1E41-5CC1-4753-83E5-C3F83BCFE7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029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0297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556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64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773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940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0083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9107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6370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233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2</cp:revision>
  <dcterms:created xsi:type="dcterms:W3CDTF">2025-11-19T18:19:00Z</dcterms:created>
  <dcterms:modified xsi:type="dcterms:W3CDTF">2025-11-19T18:26:00Z</dcterms:modified>
</cp:coreProperties>
</file>