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5ACF4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PROJETO DE LEI ORDINÁRIA Nº 32/2025</w:t>
      </w:r>
    </w:p>
    <w:p w14:paraId="2CB8EE46" w14:textId="77777777" w:rsidR="0018198D" w:rsidRDefault="0018198D">
      <w:pPr>
        <w:spacing w:line="360" w:lineRule="auto"/>
        <w:jc w:val="center"/>
        <w:rPr>
          <w:b/>
          <w:sz w:val="24"/>
          <w:szCs w:val="24"/>
          <w:highlight w:val="yellow"/>
        </w:rPr>
      </w:pPr>
    </w:p>
    <w:p w14:paraId="4D99C0E8" w14:textId="77777777" w:rsidR="0018198D" w:rsidRDefault="00C911E7">
      <w:pPr>
        <w:ind w:left="22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DISPÕE SOBRE A SUBSTITUIÇÃO DO USO DE SACOLAS PLÁSTICAS CONVENCIONAIS POR SACOLAS BIODEGRADÁVEIS/REUTILIZÁVEIS EM ESTABELECIMENTOS COMERCIAIS NO MUNICÍPIO DE LIMA DUARTE-MG, ESTABELECE DIRETRIZES PARA PROMOÇÃO DA SUSTEN</w:t>
      </w:r>
      <w:r>
        <w:rPr>
          <w:i/>
          <w:sz w:val="24"/>
          <w:szCs w:val="24"/>
        </w:rPr>
        <w:t>TABILIDADE E DÁ OUTRAS PROVIDÊNCIAS.</w:t>
      </w:r>
    </w:p>
    <w:p w14:paraId="1E8A5714" w14:textId="77777777" w:rsidR="0018198D" w:rsidRDefault="0018198D">
      <w:pPr>
        <w:spacing w:line="360" w:lineRule="auto"/>
        <w:ind w:left="2267"/>
        <w:jc w:val="both"/>
        <w:rPr>
          <w:i/>
          <w:sz w:val="24"/>
          <w:szCs w:val="24"/>
        </w:rPr>
      </w:pPr>
    </w:p>
    <w:p w14:paraId="3C3B6917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CAPÍTULO I</w:t>
      </w:r>
    </w:p>
    <w:p w14:paraId="4E3B747E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DISPOSIÇÕES PRELIMINARES</w:t>
      </w:r>
    </w:p>
    <w:p w14:paraId="59F0D725" w14:textId="77777777" w:rsidR="0018198D" w:rsidRDefault="0018198D">
      <w:pPr>
        <w:spacing w:line="360" w:lineRule="auto"/>
        <w:jc w:val="center"/>
        <w:rPr>
          <w:b/>
          <w:sz w:val="24"/>
          <w:szCs w:val="24"/>
        </w:rPr>
      </w:pPr>
    </w:p>
    <w:p w14:paraId="077A8A53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Esta Lei dispõe sobre a substituição no uso de sacolas plásticas convencionais por sacolas biodegradáveis, recicláveis e reutilizáveis, em estabelecimentos comerciais, com v</w:t>
      </w:r>
      <w:r>
        <w:rPr>
          <w:sz w:val="24"/>
          <w:szCs w:val="24"/>
        </w:rPr>
        <w:t>istas à proteção ambiental, à redução do consumo de plásticos descartáveis e à promoção de alternativas sustentáveis no Município de Lima Duarte-MG.</w:t>
      </w:r>
    </w:p>
    <w:p w14:paraId="03194A81" w14:textId="77777777" w:rsidR="0018198D" w:rsidRDefault="0018198D">
      <w:pPr>
        <w:spacing w:line="360" w:lineRule="auto"/>
        <w:jc w:val="both"/>
        <w:rPr>
          <w:b/>
          <w:sz w:val="24"/>
          <w:szCs w:val="24"/>
        </w:rPr>
      </w:pPr>
    </w:p>
    <w:p w14:paraId="7C4BDAC0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Parágrafo único</w:t>
      </w:r>
      <w:r>
        <w:rPr>
          <w:sz w:val="24"/>
          <w:szCs w:val="24"/>
        </w:rPr>
        <w:t xml:space="preserve"> - Os estabelecimentos comerciais devem estimular o uso de sacolas biodegradáveis, reutiliz</w:t>
      </w:r>
      <w:r>
        <w:rPr>
          <w:sz w:val="24"/>
          <w:szCs w:val="24"/>
        </w:rPr>
        <w:t>áveis, assim consideradas aquelas que sejam confeccionadas com material resistente e que suportem o acondicionamento e transporte de produtos e mercadorias em geral.</w:t>
      </w:r>
    </w:p>
    <w:p w14:paraId="0513F82F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A24D400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2º</w:t>
      </w:r>
      <w:r>
        <w:rPr>
          <w:sz w:val="24"/>
          <w:szCs w:val="24"/>
        </w:rPr>
        <w:t xml:space="preserve"> Para os fins desta Lei, entende-se por:</w:t>
      </w:r>
    </w:p>
    <w:p w14:paraId="21E5F54B" w14:textId="77777777" w:rsidR="0018198D" w:rsidRDefault="00C911E7">
      <w:p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 – </w:t>
      </w:r>
      <w:r>
        <w:rPr>
          <w:sz w:val="24"/>
          <w:szCs w:val="24"/>
        </w:rPr>
        <w:t>Sacolas plásticas convencionais: aque</w:t>
      </w:r>
      <w:r>
        <w:rPr>
          <w:sz w:val="24"/>
          <w:szCs w:val="24"/>
        </w:rPr>
        <w:t>las confeccionadas a partir de polímeros derivados do petróleo, não biodegradáveis;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II </w:t>
      </w:r>
      <w:r>
        <w:rPr>
          <w:sz w:val="24"/>
          <w:szCs w:val="24"/>
        </w:rPr>
        <w:t xml:space="preserve">– Sacolas biodegradáveis ou </w:t>
      </w:r>
      <w:proofErr w:type="spellStart"/>
      <w:r>
        <w:rPr>
          <w:sz w:val="24"/>
          <w:szCs w:val="24"/>
        </w:rPr>
        <w:t>compostáveis</w:t>
      </w:r>
      <w:proofErr w:type="spellEnd"/>
      <w:r>
        <w:rPr>
          <w:sz w:val="24"/>
          <w:szCs w:val="24"/>
        </w:rPr>
        <w:t>: aquelas produzidas com materiais que, em condições adequadas, se decompõem em curto prazo, sem causar danos significativos ao m</w:t>
      </w:r>
      <w:r>
        <w:rPr>
          <w:sz w:val="24"/>
          <w:szCs w:val="24"/>
        </w:rPr>
        <w:t>eio ambiente;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III –</w:t>
      </w:r>
      <w:r>
        <w:rPr>
          <w:sz w:val="24"/>
          <w:szCs w:val="24"/>
        </w:rPr>
        <w:t xml:space="preserve"> Sacolas reutilizáveis: aquelas fabricadas com materiais resistentes e duráveis, destinadas ao uso contínuo, capazes de suportar o acondicionamento e o transporte de produtos e mercadorias em geral;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IV – </w:t>
      </w:r>
      <w:r>
        <w:rPr>
          <w:sz w:val="24"/>
          <w:szCs w:val="24"/>
        </w:rPr>
        <w:t>Alternativas sustentáveis: embala</w:t>
      </w:r>
      <w:r>
        <w:rPr>
          <w:sz w:val="24"/>
          <w:szCs w:val="24"/>
        </w:rPr>
        <w:t>gens e sacolas que, em razão de sua composição ou ciclo de vida, apresentam menor impacto ambiental quando comparadas às sacolas plásticas convencionais.</w:t>
      </w:r>
    </w:p>
    <w:p w14:paraId="0E000A4D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CAPÍTULO II</w:t>
      </w:r>
    </w:p>
    <w:p w14:paraId="3297ED76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 PROIBIÇÃO E DAS EXCEÇÕES</w:t>
      </w:r>
    </w:p>
    <w:p w14:paraId="097D9845" w14:textId="77777777" w:rsidR="0018198D" w:rsidRDefault="0018198D">
      <w:pPr>
        <w:spacing w:line="360" w:lineRule="auto"/>
        <w:jc w:val="center"/>
        <w:rPr>
          <w:b/>
          <w:sz w:val="24"/>
          <w:szCs w:val="24"/>
        </w:rPr>
      </w:pPr>
    </w:p>
    <w:p w14:paraId="32473EB9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3º</w:t>
      </w:r>
      <w:r>
        <w:rPr>
          <w:sz w:val="24"/>
          <w:szCs w:val="24"/>
        </w:rPr>
        <w:t xml:space="preserve"> Fica proibida a distribuição gratuita ou a comerciali</w:t>
      </w:r>
      <w:r>
        <w:rPr>
          <w:sz w:val="24"/>
          <w:szCs w:val="24"/>
        </w:rPr>
        <w:t>zação de sacolas plásticas convencionais por estabelecimentos comerciais de qualquer natureza no Município.</w:t>
      </w:r>
    </w:p>
    <w:p w14:paraId="723E06C3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0965296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4º</w:t>
      </w:r>
      <w:r>
        <w:rPr>
          <w:sz w:val="24"/>
          <w:szCs w:val="24"/>
        </w:rPr>
        <w:t xml:space="preserve"> Os estabelecimentos deverão disponibilizar aos consumidores alternativas sustentáveis, tais como:</w:t>
      </w:r>
    </w:p>
    <w:p w14:paraId="31EB2620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– </w:t>
      </w:r>
      <w:proofErr w:type="gramStart"/>
      <w:r>
        <w:rPr>
          <w:sz w:val="24"/>
          <w:szCs w:val="24"/>
        </w:rPr>
        <w:t>sacolas</w:t>
      </w:r>
      <w:proofErr w:type="gramEnd"/>
      <w:r>
        <w:rPr>
          <w:sz w:val="24"/>
          <w:szCs w:val="24"/>
        </w:rPr>
        <w:t xml:space="preserve"> biodegradáveis ou </w:t>
      </w:r>
      <w:proofErr w:type="spellStart"/>
      <w:r>
        <w:rPr>
          <w:sz w:val="24"/>
          <w:szCs w:val="24"/>
        </w:rPr>
        <w:t>compostávei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>, constituídas de materiais orgânicos, tais como: celulose, fibra de coco, cana-de-açúcar, matérias-primas de origem vegetal, dentre outros;</w:t>
      </w:r>
    </w:p>
    <w:p w14:paraId="2522671A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– </w:t>
      </w:r>
      <w:proofErr w:type="gramStart"/>
      <w:r>
        <w:rPr>
          <w:sz w:val="24"/>
          <w:szCs w:val="24"/>
        </w:rPr>
        <w:t>sacolas</w:t>
      </w:r>
      <w:proofErr w:type="gramEnd"/>
      <w:r>
        <w:rPr>
          <w:sz w:val="24"/>
          <w:szCs w:val="24"/>
        </w:rPr>
        <w:t xml:space="preserve"> reutilizáveis;</w:t>
      </w:r>
    </w:p>
    <w:p w14:paraId="33DA233E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III – sacola de papel;</w:t>
      </w:r>
    </w:p>
    <w:p w14:paraId="5286D059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 – </w:t>
      </w:r>
      <w:proofErr w:type="gramStart"/>
      <w:r>
        <w:rPr>
          <w:sz w:val="24"/>
          <w:szCs w:val="24"/>
        </w:rPr>
        <w:t>caixa</w:t>
      </w:r>
      <w:proofErr w:type="gramEnd"/>
      <w:r>
        <w:rPr>
          <w:sz w:val="24"/>
          <w:szCs w:val="24"/>
        </w:rPr>
        <w:t xml:space="preserve"> de papelão reciclável.</w:t>
      </w:r>
    </w:p>
    <w:p w14:paraId="18F3C378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A9EA3F7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5º</w:t>
      </w:r>
      <w:r>
        <w:rPr>
          <w:sz w:val="24"/>
          <w:szCs w:val="24"/>
        </w:rPr>
        <w:t xml:space="preserve"> Esta Lei não se aplica a:</w:t>
      </w:r>
    </w:p>
    <w:p w14:paraId="13051E9D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– </w:t>
      </w:r>
      <w:proofErr w:type="gramStart"/>
      <w:r>
        <w:rPr>
          <w:sz w:val="24"/>
          <w:szCs w:val="24"/>
        </w:rPr>
        <w:t>embalagens</w:t>
      </w:r>
      <w:proofErr w:type="gramEnd"/>
      <w:r>
        <w:rPr>
          <w:sz w:val="24"/>
          <w:szCs w:val="24"/>
        </w:rPr>
        <w:t xml:space="preserve"> plásticas utilizadas para acondicionar alimentos vendidos a granel, hortifruti e açougues;</w:t>
      </w:r>
    </w:p>
    <w:p w14:paraId="46742562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– </w:t>
      </w:r>
      <w:proofErr w:type="gramStart"/>
      <w:r>
        <w:rPr>
          <w:sz w:val="24"/>
          <w:szCs w:val="24"/>
        </w:rPr>
        <w:t>embalagens</w:t>
      </w:r>
      <w:proofErr w:type="gramEnd"/>
      <w:r>
        <w:rPr>
          <w:sz w:val="24"/>
          <w:szCs w:val="24"/>
        </w:rPr>
        <w:t xml:space="preserve"> primárias destinadas à conservação de produtos perecíveis;</w:t>
      </w:r>
    </w:p>
    <w:p w14:paraId="70CAEADA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III – embalagens plásticas que se façam indispensáveis por razões de segurança alimentar, higiene ou saúde pública.</w:t>
      </w:r>
    </w:p>
    <w:p w14:paraId="33A0ADA0" w14:textId="77777777" w:rsidR="0018198D" w:rsidRDefault="0018198D">
      <w:pPr>
        <w:spacing w:line="360" w:lineRule="auto"/>
        <w:jc w:val="both"/>
        <w:rPr>
          <w:sz w:val="24"/>
          <w:szCs w:val="24"/>
          <w:highlight w:val="yellow"/>
        </w:rPr>
      </w:pPr>
    </w:p>
    <w:p w14:paraId="3631937D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CAPÍTULO III</w:t>
      </w:r>
    </w:p>
    <w:p w14:paraId="26F3FD60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DOS INCENTIVOS À TRANSIÇÃO E CAMPANHAS EDUCATIVAS</w:t>
      </w:r>
    </w:p>
    <w:p w14:paraId="794C12FB" w14:textId="77777777" w:rsidR="0018198D" w:rsidRDefault="0018198D">
      <w:pPr>
        <w:spacing w:line="360" w:lineRule="auto"/>
        <w:jc w:val="center"/>
        <w:rPr>
          <w:b/>
          <w:sz w:val="24"/>
          <w:szCs w:val="24"/>
        </w:rPr>
      </w:pPr>
    </w:p>
    <w:p w14:paraId="76810F7B" w14:textId="77777777" w:rsidR="0018198D" w:rsidRDefault="00C911E7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6º</w:t>
      </w:r>
      <w:r>
        <w:rPr>
          <w:sz w:val="24"/>
          <w:szCs w:val="24"/>
        </w:rPr>
        <w:t xml:space="preserve"> O Poder Executivo poderá firmar parcerias com organizações não gove</w:t>
      </w:r>
      <w:r>
        <w:rPr>
          <w:sz w:val="24"/>
          <w:szCs w:val="24"/>
        </w:rPr>
        <w:t>rnamentais, associações comerciais e instituições de ensino, a fim de promover orientação, campanhas de educação e apresentação de alternativas sustentáveis, devendo, ainda, promover campanhas educativas para conscientizar a população sobre: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– os impacto</w:t>
      </w:r>
      <w:r>
        <w:rPr>
          <w:sz w:val="24"/>
          <w:szCs w:val="24"/>
        </w:rPr>
        <w:t>s negativos do uso de sacolas plásticas no meio ambiente e na saúde pública;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</w:t>
      </w:r>
      <w:r>
        <w:rPr>
          <w:b/>
          <w:sz w:val="24"/>
          <w:szCs w:val="24"/>
        </w:rPr>
        <w:t xml:space="preserve">II </w:t>
      </w:r>
      <w:r>
        <w:rPr>
          <w:sz w:val="24"/>
          <w:szCs w:val="24"/>
        </w:rPr>
        <w:t>– os benefícios do uso de alternativas sustentáveis;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 III</w:t>
      </w:r>
      <w:r>
        <w:rPr>
          <w:sz w:val="24"/>
          <w:szCs w:val="24"/>
        </w:rPr>
        <w:t xml:space="preserve"> – a importância da reutilização de materiais e da redução da geração de resíduos.</w:t>
      </w:r>
    </w:p>
    <w:p w14:paraId="503BDBE4" w14:textId="77777777" w:rsidR="0018198D" w:rsidRDefault="00C911E7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§1º As campanhas educativas deverão</w:t>
      </w:r>
      <w:r>
        <w:rPr>
          <w:sz w:val="24"/>
          <w:szCs w:val="24"/>
        </w:rPr>
        <w:t xml:space="preserve"> ser realizadas de forma contínua, utilizando meios de comunicação como rádio, televisão, internet e materiais impressos.</w:t>
      </w:r>
      <w:r>
        <w:rPr>
          <w:sz w:val="24"/>
          <w:szCs w:val="24"/>
        </w:rPr>
        <w:br/>
        <w:t>§2º As escolas da rede pública e privada poderão incluir temas relacionados à sustentabilidade no conteúdo programático, com foco na r</w:t>
      </w:r>
      <w:r>
        <w:rPr>
          <w:sz w:val="24"/>
          <w:szCs w:val="24"/>
        </w:rPr>
        <w:t>edução do consumo de plásticos descartáveis.</w:t>
      </w:r>
    </w:p>
    <w:p w14:paraId="236F9D8F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CAPÍTULO V</w:t>
      </w:r>
    </w:p>
    <w:p w14:paraId="0BFC47BA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 PRAZO PARA ADEQUAÇÃO E DAS PENALIDADES</w:t>
      </w:r>
    </w:p>
    <w:p w14:paraId="685856B3" w14:textId="77777777" w:rsidR="0018198D" w:rsidRDefault="0018198D">
      <w:pPr>
        <w:spacing w:line="360" w:lineRule="auto"/>
        <w:jc w:val="center"/>
        <w:rPr>
          <w:b/>
          <w:sz w:val="24"/>
          <w:szCs w:val="24"/>
        </w:rPr>
      </w:pPr>
    </w:p>
    <w:p w14:paraId="200310B5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7º</w:t>
      </w:r>
      <w:r>
        <w:rPr>
          <w:sz w:val="24"/>
          <w:szCs w:val="24"/>
        </w:rPr>
        <w:t xml:space="preserve"> Os estabelecimentos comerciais terão o prazo de 180 (cento e oitenta) dias, contados a partir da publicação desta Lei, para se adequarem às suas disp</w:t>
      </w:r>
      <w:r>
        <w:rPr>
          <w:sz w:val="24"/>
          <w:szCs w:val="24"/>
        </w:rPr>
        <w:t>osições.</w:t>
      </w:r>
    </w:p>
    <w:p w14:paraId="30A4B703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3A0DBDF7" w14:textId="77777777" w:rsidR="0018198D" w:rsidRDefault="00C911E7">
      <w:pPr>
        <w:spacing w:line="360" w:lineRule="auto"/>
        <w:jc w:val="both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Art. 9º </w:t>
      </w:r>
      <w:r>
        <w:rPr>
          <w:sz w:val="24"/>
          <w:szCs w:val="24"/>
          <w:highlight w:val="white"/>
        </w:rPr>
        <w:t>A competência para fiscalização e aplicação de penalidades, em caso de descumprimento dos dispositivos contidos nesta Lei, será da Secretaria Municipal de Meio Ambiente.</w:t>
      </w:r>
    </w:p>
    <w:p w14:paraId="3C3D7855" w14:textId="77777777" w:rsidR="0018198D" w:rsidRDefault="0018198D">
      <w:pPr>
        <w:spacing w:line="360" w:lineRule="auto"/>
        <w:jc w:val="both"/>
        <w:rPr>
          <w:sz w:val="24"/>
          <w:szCs w:val="24"/>
          <w:highlight w:val="white"/>
        </w:rPr>
      </w:pPr>
    </w:p>
    <w:p w14:paraId="1D3E3949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10.</w:t>
      </w:r>
      <w:r>
        <w:rPr>
          <w:sz w:val="24"/>
          <w:szCs w:val="24"/>
        </w:rPr>
        <w:t xml:space="preserve"> O descumprimento das disposições desta Lei sujeitará o inf</w:t>
      </w:r>
      <w:r>
        <w:rPr>
          <w:sz w:val="24"/>
          <w:szCs w:val="24"/>
        </w:rPr>
        <w:t>rator às seguintes penalidades, aplicadas de forma gradativa:</w:t>
      </w:r>
    </w:p>
    <w:p w14:paraId="77286847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I –</w:t>
      </w:r>
      <w:r>
        <w:rPr>
          <w:sz w:val="24"/>
          <w:szCs w:val="24"/>
        </w:rPr>
        <w:t xml:space="preserve"> advertência formal, na primeira autuação;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II –</w:t>
      </w:r>
      <w:r>
        <w:rPr>
          <w:sz w:val="24"/>
          <w:szCs w:val="24"/>
        </w:rPr>
        <w:t xml:space="preserve"> multa no valor de 20 (vinte) UFLD, na segunda autuação;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III –</w:t>
      </w:r>
      <w:r>
        <w:rPr>
          <w:sz w:val="24"/>
          <w:szCs w:val="24"/>
        </w:rPr>
        <w:t xml:space="preserve"> multa no valor de 100 (cem) UFLD, equivalente a R$ 5.000,00 (cinco mil reais), em</w:t>
      </w:r>
      <w:r>
        <w:rPr>
          <w:sz w:val="24"/>
          <w:szCs w:val="24"/>
        </w:rPr>
        <w:t xml:space="preserve"> caso de reincidência;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IV –</w:t>
      </w:r>
      <w:r>
        <w:rPr>
          <w:sz w:val="24"/>
          <w:szCs w:val="24"/>
        </w:rPr>
        <w:t xml:space="preserve"> suspensão temporária do alvará de funcionamento, em caso de reincidência continuada.</w:t>
      </w:r>
    </w:p>
    <w:p w14:paraId="643565ED" w14:textId="77777777" w:rsidR="0018198D" w:rsidRDefault="0018198D">
      <w:pPr>
        <w:spacing w:line="360" w:lineRule="auto"/>
        <w:jc w:val="both"/>
        <w:rPr>
          <w:b/>
          <w:sz w:val="24"/>
          <w:szCs w:val="24"/>
        </w:rPr>
      </w:pPr>
    </w:p>
    <w:p w14:paraId="6F9411EE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Parágrafo Único</w:t>
      </w:r>
      <w:r>
        <w:rPr>
          <w:sz w:val="24"/>
          <w:szCs w:val="24"/>
        </w:rPr>
        <w:t xml:space="preserve"> - Os valores arrecadados com as multas serão destinados a programas de educação ambiental e projetos de reciclagem no Municípi</w:t>
      </w:r>
      <w:r>
        <w:rPr>
          <w:sz w:val="24"/>
          <w:szCs w:val="24"/>
        </w:rPr>
        <w:t>o.</w:t>
      </w:r>
    </w:p>
    <w:p w14:paraId="1E80D9B0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02C0316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CAPÍTULO VI</w:t>
      </w:r>
    </w:p>
    <w:p w14:paraId="437F4E24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DISPOSIÇÕES FINAIS</w:t>
      </w:r>
    </w:p>
    <w:p w14:paraId="05E58B2E" w14:textId="77777777" w:rsidR="0018198D" w:rsidRDefault="0018198D">
      <w:pPr>
        <w:spacing w:line="360" w:lineRule="auto"/>
        <w:jc w:val="center"/>
        <w:rPr>
          <w:b/>
          <w:sz w:val="24"/>
          <w:szCs w:val="24"/>
        </w:rPr>
      </w:pPr>
    </w:p>
    <w:p w14:paraId="52191DDB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Art. 11º</w:t>
      </w:r>
      <w:r>
        <w:rPr>
          <w:sz w:val="24"/>
          <w:szCs w:val="24"/>
        </w:rPr>
        <w:t xml:space="preserve"> Esta Lei entra em vigor na data de sua publicação.</w:t>
      </w:r>
    </w:p>
    <w:p w14:paraId="289B329A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4F101D4" w14:textId="77777777" w:rsidR="0018198D" w:rsidRDefault="00C911E7">
      <w:pPr>
        <w:spacing w:line="360" w:lineRule="auto"/>
        <w:jc w:val="both"/>
        <w:rPr>
          <w:sz w:val="24"/>
          <w:szCs w:val="24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    </w:t>
      </w:r>
      <w:r>
        <w:rPr>
          <w:sz w:val="24"/>
          <w:szCs w:val="24"/>
        </w:rPr>
        <w:t>Lima Duarte, 17 de setembro de 2025.</w:t>
      </w:r>
    </w:p>
    <w:p w14:paraId="0CE01196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0B0F6CBB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9CAEF1D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ELENICE PEREIRA DELGADO SANTELLI</w:t>
      </w:r>
    </w:p>
    <w:p w14:paraId="294419AE" w14:textId="77777777" w:rsidR="0018198D" w:rsidRDefault="00C911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PREFEITA MUNICIPAL</w:t>
      </w:r>
    </w:p>
    <w:p w14:paraId="349A0280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135EBD9F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349D3D6D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0F4A4F13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30C84287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0DACF87B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3FC54C71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0F126904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0536963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2AFED7E1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0DAC8F35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2FFEAE22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86B2BF0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22816B02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9F2F6E1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8F5F6B2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F05E626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05B37B0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56744CC1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46B15E95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1D864522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4316FC5F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3DCAC3D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23C8974C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161111B" w14:textId="77777777" w:rsidR="0018198D" w:rsidRDefault="0018198D">
      <w:pPr>
        <w:spacing w:line="360" w:lineRule="auto"/>
        <w:jc w:val="both"/>
        <w:rPr>
          <w:sz w:val="24"/>
          <w:szCs w:val="24"/>
        </w:rPr>
      </w:pPr>
    </w:p>
    <w:p w14:paraId="63DA121F" w14:textId="77777777" w:rsidR="0018198D" w:rsidRDefault="0018198D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sectPr w:rsidR="0018198D">
      <w:headerReference w:type="default" r:id="rId7"/>
      <w:footerReference w:type="default" r:id="rId8"/>
      <w:pgSz w:w="11906" w:h="16838"/>
      <w:pgMar w:top="1977" w:right="1701" w:bottom="993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BDFD6" w14:textId="77777777" w:rsidR="00C911E7" w:rsidRDefault="00C911E7">
      <w:r>
        <w:separator/>
      </w:r>
    </w:p>
  </w:endnote>
  <w:endnote w:type="continuationSeparator" w:id="0">
    <w:p w14:paraId="43509ED9" w14:textId="77777777" w:rsidR="00C911E7" w:rsidRDefault="00C91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96E2F" w14:textId="77777777" w:rsidR="0018198D" w:rsidRDefault="00C911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74090F">
      <w:rPr>
        <w:color w:val="000000"/>
      </w:rPr>
      <w:fldChar w:fldCharType="separate"/>
    </w:r>
    <w:r w:rsidR="0074090F">
      <w:rPr>
        <w:noProof/>
        <w:color w:val="000000"/>
      </w:rPr>
      <w:t>1</w:t>
    </w:r>
    <w:r>
      <w:rPr>
        <w:color w:val="000000"/>
      </w:rPr>
      <w:fldChar w:fldCharType="end"/>
    </w:r>
  </w:p>
  <w:p w14:paraId="5C74F237" w14:textId="77777777" w:rsidR="0018198D" w:rsidRDefault="001819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DC4C0F" w14:textId="77777777" w:rsidR="00C911E7" w:rsidRDefault="00C911E7">
      <w:r>
        <w:separator/>
      </w:r>
    </w:p>
  </w:footnote>
  <w:footnote w:type="continuationSeparator" w:id="0">
    <w:p w14:paraId="2490E4B3" w14:textId="77777777" w:rsidR="00C911E7" w:rsidRDefault="00C91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68874" w14:textId="77777777" w:rsidR="0018198D" w:rsidRDefault="00C911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252"/>
        <w:tab w:val="right" w:pos="8504"/>
        <w:tab w:val="right" w:pos="9900"/>
      </w:tabs>
      <w:ind w:left="-720" w:right="-855" w:firstLine="720"/>
      <w:jc w:val="center"/>
      <w:rPr>
        <w:b/>
        <w:i/>
        <w:color w:val="000080"/>
        <w:sz w:val="40"/>
        <w:szCs w:val="40"/>
      </w:rPr>
    </w:pPr>
    <w:r>
      <w:rPr>
        <w:b/>
        <w:i/>
        <w:color w:val="000080"/>
        <w:sz w:val="40"/>
        <w:szCs w:val="40"/>
      </w:rPr>
      <w:t>Prefeitura Municipal de Lima Duarte – MG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49C9503" wp14:editId="760D71E6">
          <wp:simplePos x="0" y="0"/>
          <wp:positionH relativeFrom="column">
            <wp:posOffset>-803905</wp:posOffset>
          </wp:positionH>
          <wp:positionV relativeFrom="paragraph">
            <wp:posOffset>-159378</wp:posOffset>
          </wp:positionV>
          <wp:extent cx="806450" cy="871855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6450" cy="8718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ADAE9E" w14:textId="77777777" w:rsidR="0018198D" w:rsidRDefault="00C911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252"/>
        <w:tab w:val="right" w:pos="8504"/>
        <w:tab w:val="right" w:pos="9360"/>
      </w:tabs>
      <w:ind w:right="-702"/>
      <w:jc w:val="center"/>
      <w:rPr>
        <w:i/>
        <w:color w:val="000080"/>
        <w:sz w:val="24"/>
        <w:szCs w:val="24"/>
      </w:rPr>
    </w:pPr>
    <w:r>
      <w:rPr>
        <w:i/>
        <w:color w:val="000080"/>
        <w:sz w:val="22"/>
        <w:szCs w:val="22"/>
      </w:rPr>
      <w:t>Rua Tancredo Alves, 57</w:t>
    </w:r>
    <w:r>
      <w:rPr>
        <w:i/>
        <w:color w:val="000080"/>
      </w:rPr>
      <w:t xml:space="preserve"> – Centro – 36.140-000 - Telefax: (32) 3281-1281</w:t>
    </w:r>
  </w:p>
  <w:p w14:paraId="0E10D392" w14:textId="77777777" w:rsidR="0018198D" w:rsidRDefault="001819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98D"/>
    <w:rsid w:val="0018198D"/>
    <w:rsid w:val="0074090F"/>
    <w:rsid w:val="00C911E7"/>
    <w:rsid w:val="00C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7F05"/>
  <w15:docId w15:val="{D07B62BA-F968-4B2C-91E8-A192B21E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qFormat/>
    <w:rsid w:val="005219A3"/>
  </w:style>
  <w:style w:type="character" w:customStyle="1" w:styleId="RodapChar">
    <w:name w:val="Rodapé Char"/>
    <w:basedOn w:val="Fontepargpadro"/>
    <w:link w:val="Rodap"/>
    <w:uiPriority w:val="99"/>
    <w:qFormat/>
    <w:rsid w:val="005219A3"/>
  </w:style>
  <w:style w:type="character" w:customStyle="1" w:styleId="apple-converted-space">
    <w:name w:val="apple-converted-space"/>
    <w:basedOn w:val="Fontepargpadro"/>
    <w:qFormat/>
    <w:rsid w:val="00AF056F"/>
  </w:style>
  <w:style w:type="character" w:customStyle="1" w:styleId="LinkdaInternet">
    <w:name w:val="Link da Internet"/>
    <w:uiPriority w:val="99"/>
    <w:unhideWhenUsed/>
    <w:rsid w:val="00AF056F"/>
    <w:rPr>
      <w:color w:val="0000FF"/>
      <w:u w:val="single"/>
    </w:rPr>
  </w:style>
  <w:style w:type="character" w:customStyle="1" w:styleId="apple-style-span">
    <w:name w:val="apple-style-span"/>
    <w:basedOn w:val="Fontepargpadro"/>
    <w:qFormat/>
    <w:rsid w:val="00AF056F"/>
  </w:style>
  <w:style w:type="character" w:customStyle="1" w:styleId="TextodebaloChar">
    <w:name w:val="Texto de balão Char"/>
    <w:link w:val="Textodebalo"/>
    <w:qFormat/>
    <w:rsid w:val="005B2D94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tj">
    <w:name w:val="tj"/>
    <w:basedOn w:val="Normal"/>
    <w:qFormat/>
    <w:rsid w:val="00D45B0B"/>
    <w:pPr>
      <w:spacing w:beforeAutospacing="1" w:afterAutospacing="1"/>
    </w:pPr>
    <w:rPr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5219A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5219A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AF056F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qFormat/>
    <w:rsid w:val="005B2D94"/>
    <w:rPr>
      <w:rFonts w:ascii="Segoe UI" w:hAnsi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PCg2FJHpGAui6+5qNzC98AkRHg==">CgMxLjA4AHIhMS1McnN1d1NLOGtMdWJ1dnpwYXpjX01mNjEwamtXSnhn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Murillo</cp:lastModifiedBy>
  <cp:revision>4</cp:revision>
  <dcterms:created xsi:type="dcterms:W3CDTF">2025-09-22T20:36:00Z</dcterms:created>
  <dcterms:modified xsi:type="dcterms:W3CDTF">2025-09-22T20:37:00Z</dcterms:modified>
</cp:coreProperties>
</file>