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header.xml" ContentType="application/vnd.openxmlformats-officedocument.wordprocessingml.header+xml"/>
  <Override PartName="/word/footer.xml" ContentType="application/vnd.openxmlformats-officedocument.wordprocessingml.footer+xml"/>
  <Override PartName="/word/settings.xml" ContentType="application/vnd.openxmlformats-officedocument.wordprocessingml.setting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>
      <w:pPr>
        <w:jc w:val="center"/>
        <w:pBdr>
          <w:top w:val="" w:sz="6"/>
          <w:left w:val="" w:sz="6"/>
          <w:bottom w:val="" w:sz="6"/>
          <w:right w:val="" w:sz="6"/>
        </w:pBdr>
      </w:pPr>
      <w:r>
        <w:rPr>
          <w:rFonts w:ascii="Times New Roman" w:hAnsi="Times New Roman"/>
          <w:b/>
          <w:sz w:val="28"/>
        </w:rPr>
        <w:t>LEI Nº 1.885/2017</w:t>
      </w:r>
    </w:p>
    <w:p>
      <w:pPr>
        <w:jc w:val="center"/>
        <w:pBdr>
          <w:top w:val="" w:sz="6"/>
          <w:left w:val="" w:sz="6"/>
          <w:bottom w:val="" w:sz="6"/>
          <w:right w:val="" w:sz="6"/>
        </w:pBdr>
      </w:pPr>
      <w:r>
        <w:rPr>
          <w:rFonts w:ascii="Times New Roman" w:hAnsi="Times New Roman"/>
          <w:sz w:val="24"/>
        </w:rPr>
        <w:t>De 20 de Abril de 2017</w:t>
      </w:r>
    </w:p>
    <w:p>
      <w:pPr>
        <w:jc w:val="both"/>
      </w:pPr>
      <w:r>
        <w:rPr>
          <w:rFonts w:ascii="Times New Roman" w:hAnsi="Times New Roman"/>
          <w:sz w:val="22"/>
        </w:rPr>
        <w:t> </w:t>
      </w:r>
    </w:p>
    <w:p>
      <w:pPr>
        <w:jc w:val="both"/>
      </w:pPr>
      <w:r>
        <w:rPr>
          <w:rFonts w:ascii="Times New Roman" w:hAnsi="Times New Roman"/>
          <w:sz w:val="24"/>
        </w:rPr>
        <w:t/>
      </w:r>
    </w:p>
    <w:p>
      <w:pPr>
        <w:jc w:val="both"/>
        <w:ind w:left="3386" w:right="3386"/>
      </w:pPr>
      <w:r>
        <w:rPr>
          <w:rFonts w:ascii="Times New Roman" w:hAnsi="Times New Roman"/>
          <w:b/>
          <w:sz w:val="24"/>
        </w:rPr>
        <w:t>“</w:t>
      </w:r>
      <w:r>
        <w:rPr>
          <w:rFonts w:ascii="Times New Roman" w:hAnsi="Times New Roman"/>
          <w:sz w:val="24"/>
        </w:rPr>
        <w:t>CONCEDE REVISÃO GERAL ANUAL NOS SUBSÍDIOS DOS AGENTES POLÍTICOS (PREFEITO, VICE-PREFEITO E VEREADORES), DO MUNICÍPIO DE SALES OLIVEIRA, NOS TERMOS DO ART. 37, INCISO X, DA CONSTITUIÇÃO FEDERAL”</w:t>
      </w:r>
    </w:p>
    <w:p>
      <w:pPr>
        <w:jc w:val="both"/>
        <w:ind w:left="3386" w:right="3386"/>
      </w:pPr>
      <w:r>
        <w:rPr>
          <w:rFonts w:ascii="Times New Roman" w:hAnsi="Times New Roman"/>
          <w:sz w:val="24"/>
        </w:rPr>
        <w:t/>
      </w:r>
    </w:p>
    <w:p>
      <w:pPr>
        <w:jc w:val="both"/>
        <w:ind w:left="3119"/>
      </w:pPr>
      <w:r>
        <w:rPr>
          <w:rFonts w:ascii="Times New Roman" w:hAnsi="Times New Roman"/>
          <w:sz w:val="22"/>
        </w:rPr>
        <w:t/>
      </w:r>
    </w:p>
    <w:p>
      <w:pPr>
        <w:jc w:val="both"/>
        <w:ind w:right="0" w:firstLine="1151"/>
      </w:pPr>
      <w:r>
        <w:rPr>
          <w:rFonts w:ascii="Times New Roman" w:hAnsi="Times New Roman"/>
          <w:b/>
          <w:sz w:val="24"/>
          <w:color w:val="000000"/>
        </w:rPr>
        <w:t>DR. EDMAR DUARTE GOMIERO</w:t>
      </w:r>
      <w:r>
        <w:rPr>
          <w:rFonts w:ascii="Times New Roman" w:hAnsi="Times New Roman"/>
          <w:sz w:val="24"/>
          <w:color w:val="000000"/>
        </w:rPr>
        <w:t>, Prefeito Municipal de Sales Oliveira, Estado de São Paulo, usando das atribuições que lhe são conferidas por Lei,</w:t>
      </w:r>
    </w:p>
    <w:p>
      <w:pPr>
        <w:jc w:val="both"/>
        <w:ind w:right="0" w:firstLine="1151"/>
      </w:pPr>
      <w:r>
        <w:rPr>
          <w:rFonts w:ascii="Times New Roman" w:hAnsi="Times New Roman"/>
          <w:sz w:val="24"/>
          <w:color w:val="000000"/>
        </w:rPr>
        <w:t/>
      </w:r>
    </w:p>
    <w:p>
      <w:pPr>
        <w:jc w:val="both"/>
        <w:ind w:right="0" w:firstLine="1151"/>
      </w:pPr>
      <w:r>
        <w:rPr>
          <w:rFonts w:ascii="Times New Roman" w:hAnsi="Times New Roman"/>
          <w:b/>
          <w:sz w:val="24"/>
          <w:color w:val="000000"/>
        </w:rPr>
        <w:t>FAZ SABER</w:t>
      </w:r>
      <w:r>
        <w:rPr>
          <w:rFonts w:ascii="Times New Roman" w:hAnsi="Times New Roman"/>
          <w:sz w:val="24"/>
          <w:color w:val="000000"/>
        </w:rPr>
        <w:t xml:space="preserve"> que a Câmara Municipal aprovou e ele sanciona e promulga a seguinte Lei:</w:t>
      </w:r>
    </w:p>
    <w:p>
      <w:pPr>
        <w:jc w:val="both"/>
        <w:ind w:right="0" w:firstLine="1151"/>
      </w:pPr>
      <w:r>
        <w:rPr>
          <w:rFonts w:ascii="Times New Roman" w:hAnsi="Times New Roman"/>
          <w:sz w:val="24"/>
          <w:color w:val="000000"/>
        </w:rPr>
        <w:t/>
      </w:r>
    </w:p>
    <w:p>
      <w:pPr>
        <w:jc w:val="both"/>
        <w:ind w:firstLine="1134"/>
        <w:spacing w:lineRule="auto" w:line="360"/>
      </w:pPr>
      <w:r>
        <w:rPr>
          <w:rFonts w:ascii="Times New Roman" w:hAnsi="Times New Roman"/>
          <w:b/>
          <w:sz w:val="24"/>
        </w:rPr>
        <w:t>Art. 1</w:t>
      </w:r>
      <w:r>
        <w:rPr>
          <w:rFonts w:ascii="Times New Roman" w:hAnsi="Times New Roman"/>
          <w:sz w:val="24"/>
        </w:rPr>
        <w:t xml:space="preserve">° - Fica concedida revisão geral anual nos subsídios dos agentes políticos (Prefeito, Vice Prefeito e Vereadores),  no município de Sales Oliveira, a partir de 01 de abril de  2017, correspondente a </w:t>
      </w:r>
      <w:r>
        <w:rPr>
          <w:rFonts w:ascii="Times New Roman" w:hAnsi="Times New Roman"/>
          <w:b/>
          <w:sz w:val="24"/>
        </w:rPr>
        <w:t>7,19%</w:t>
      </w:r>
      <w:r>
        <w:rPr>
          <w:rFonts w:ascii="Times New Roman" w:hAnsi="Times New Roman"/>
          <w:sz w:val="24"/>
        </w:rPr>
        <w:t xml:space="preserve"> (sete virgula dezenove por cento),  sobre o valor dos subsídios existentes em 31 de março de 2017, nos termos do art. 37, inciso X, da Constituição Federal.</w:t>
      </w:r>
    </w:p>
    <w:p>
      <w:pPr>
        <w:jc w:val="both"/>
        <w:ind w:firstLine="1134"/>
        <w:spacing w:lineRule="auto" w:line="360"/>
      </w:pPr>
      <w:r>
        <w:rPr>
          <w:rFonts w:ascii="Times New Roman" w:hAnsi="Times New Roman"/>
          <w:b/>
          <w:sz w:val="24"/>
        </w:rPr>
        <w:t>Art. 2°</w:t>
      </w:r>
      <w:r>
        <w:rPr>
          <w:rFonts w:ascii="Times New Roman" w:hAnsi="Times New Roman"/>
          <w:sz w:val="24"/>
        </w:rPr>
        <w:t xml:space="preserve"> - As despesas decorrentes desta Lei correrão à conta de dotação própria do orçamento vigentes, ficando autorizadas as suplementações que se fizerem necessárias, nos termos da Lei.</w:t>
      </w:r>
    </w:p>
    <w:p>
      <w:pPr>
        <w:ind w:firstLine="1136"/>
      </w:pPr>
      <w:r>
        <w:rPr>
          <w:rFonts w:ascii="Times New Roman" w:hAnsi="Times New Roman"/>
          <w:b/>
          <w:sz w:val="24"/>
        </w:rPr>
        <w:t xml:space="preserve">Art. 3° - </w:t>
      </w:r>
      <w:r>
        <w:rPr>
          <w:rFonts w:ascii="Times New Roman" w:hAnsi="Times New Roman"/>
          <w:sz w:val="24"/>
        </w:rPr>
        <w:t xml:space="preserve"> Esta Lei entra em vigor na data de Sua Publicação, retroagindo seus efeitos a 1° de Abril de 2017.</w:t>
      </w:r>
    </w:p>
    <w:p>
      <w:pPr>
        <w:ind w:firstLine="1136"/>
      </w:pPr>
      <w:r>
        <w:rPr>
          <w:rFonts w:ascii="Times New Roman" w:hAnsi="Times New Roman"/>
          <w:sz w:val="24"/>
        </w:rPr>
        <w:t/>
      </w:r>
    </w:p>
    <w:p>
      <w:pPr>
        <w:ind w:firstLine="1136"/>
      </w:pPr>
      <w:r>
        <w:rPr>
          <w:rFonts w:ascii="Times New Roman" w:hAnsi="Times New Roman"/>
          <w:sz w:val="24"/>
        </w:rPr>
        <w:t>Sales Oliveira/SP, 20 de Abril de 2017.</w:t>
      </w:r>
    </w:p>
    <w:p>
      <w:pPr>
        <w:ind w:firstLine="1136"/>
      </w:pPr>
      <w:r>
        <w:rPr>
          <w:rFonts w:ascii="Times New Roman" w:hAnsi="Times New Roman"/>
          <w:sz w:val="24"/>
        </w:rPr>
        <w:t/>
      </w:r>
    </w:p>
    <w:p>
      <w:pPr>
        <w:ind w:firstLine="1136"/>
      </w:pPr>
      <w:r>
        <w:rPr>
          <w:rFonts w:ascii="Times New Roman" w:hAnsi="Times New Roman"/>
          <w:sz w:val="24"/>
        </w:rPr>
        <w:t/>
      </w:r>
    </w:p>
    <w:p>
      <w:pPr>
        <w:jc w:val="center"/>
        <w:pBdr>
          <w:top w:val="" w:sz="6"/>
          <w:left w:val="" w:sz="6"/>
          <w:bottom w:val="" w:sz="6"/>
          <w:right w:val="" w:sz="6"/>
        </w:pBdr>
      </w:pPr>
      <w:r>
        <w:rPr>
          <w:rFonts w:ascii="Times New Roman" w:hAnsi="Times New Roman"/>
          <w:b/>
          <w:sz w:val="24"/>
        </w:rPr>
        <w:t>DR. EDMAR DUARTE GOMIERO</w:t>
      </w:r>
    </w:p>
    <w:p>
      <w:pPr>
        <w:jc w:val="center"/>
        <w:pBdr>
          <w:top w:val="" w:sz="6"/>
          <w:left w:val="" w:sz="6"/>
          <w:bottom w:val="" w:sz="6"/>
          <w:right w:val="" w:sz="6"/>
        </w:pBdr>
      </w:pPr>
      <w:r>
        <w:rPr>
          <w:rFonts w:ascii="Times New Roman" w:hAnsi="Times New Roman"/>
          <w:sz w:val="24"/>
        </w:rPr>
        <w:t>Prefeito Municipal</w:t>
      </w:r>
    </w:p>
    <w:p>
      <w:pPr>
        <w:jc w:val="center"/>
        <w:pBdr>
          <w:top w:val="" w:sz="6"/>
          <w:left w:val="" w:sz="6"/>
          <w:bottom w:val="" w:sz="6"/>
          <w:right w:val="" w:sz="6"/>
        </w:pBdr>
      </w:pPr>
      <w:r>
        <w:rPr>
          <w:rFonts w:ascii="Times New Roman" w:hAnsi="Times New Roman"/>
          <w:sz w:val="24"/>
        </w:rPr>
        <w:t/>
      </w:r>
    </w:p>
    <w:p>
      <w:pPr>
        <w:jc w:val="center"/>
        <w:pBdr>
          <w:top w:val="" w:sz="6"/>
          <w:left w:val="" w:sz="6"/>
          <w:bottom w:val="" w:sz="6"/>
          <w:right w:val="" w:sz="6"/>
        </w:pBdr>
      </w:pPr>
      <w:r>
        <w:rPr>
          <w:rFonts w:ascii="Times New Roman" w:hAnsi="Times New Roman"/>
          <w:sz w:val="24"/>
        </w:rPr>
        <w:t/>
      </w:r>
    </w:p>
    <w:p>
      <w:pPr>
        <w:jc w:val="center"/>
        <w:pBdr>
          <w:top w:val="" w:sz="6"/>
          <w:left w:val="" w:sz="6"/>
          <w:bottom w:val="" w:sz="6"/>
          <w:right w:val="" w:sz="6"/>
        </w:pBdr>
      </w:pPr>
      <w:r>
        <w:rPr>
          <w:rFonts w:ascii="Times New Roman" w:hAnsi="Times New Roman"/>
          <w:sz w:val="24"/>
        </w:rPr>
        <w:t/>
      </w:r>
    </w:p>
    <w:p>
      <w:pPr>
        <w:jc w:val="center"/>
        <w:pBdr>
          <w:top w:val="" w:sz="6"/>
          <w:left w:val="" w:sz="6"/>
          <w:bottom w:val="" w:sz="6"/>
          <w:right w:val="" w:sz="6"/>
        </w:pBdr>
      </w:pPr>
      <w:r>
        <w:rPr>
          <w:rFonts w:ascii="Times New Roman" w:hAnsi="Times New Roman"/>
          <w:sz w:val="24"/>
        </w:rPr>
        <w:t/>
      </w:r>
    </w:p>
    <w:p>
      <w:pPr>
        <w:jc w:val="center"/>
        <w:pBdr>
          <w:top w:val="" w:sz="6"/>
          <w:left w:val="" w:sz="6"/>
          <w:bottom w:val="" w:sz="6"/>
          <w:right w:val="" w:sz="6"/>
        </w:pBdr>
      </w:pPr>
      <w:r>
        <w:rPr>
          <w:rFonts w:ascii="Times New Roman" w:hAnsi="Times New Roman"/>
          <w:sz w:val="24"/>
        </w:rPr>
        <w:t/>
      </w:r>
    </w:p>
    <w:p>
      <w:pPr>
        <w:jc w:val="center"/>
        <w:pBdr>
          <w:top w:val="" w:sz="6"/>
          <w:left w:val="" w:sz="6"/>
          <w:bottom w:val="" w:sz="6"/>
          <w:right w:val="" w:sz="6"/>
        </w:pBdr>
      </w:pPr>
      <w:r>
        <w:rPr>
          <w:rFonts w:ascii="Times New Roman" w:hAnsi="Times New Roman"/>
          <w:sz w:val="24"/>
        </w:rPr>
        <w:t/>
      </w:r>
    </w:p>
    <w:p>
      <w:pPr>
        <w:jc w:val="center"/>
        <w:pBdr>
          <w:top w:val="" w:sz="6"/>
          <w:left w:val="" w:sz="6"/>
          <w:bottom w:val="" w:sz="6"/>
          <w:right w:val="" w:sz="6"/>
        </w:pBdr>
      </w:pPr>
      <w:r>
        <w:rPr>
          <w:rFonts w:ascii="Times New Roman" w:hAnsi="Times New Roman"/>
          <w:b/>
          <w:sz w:val="32"/>
        </w:rPr>
        <w:t>Anexo I</w:t>
      </w:r>
    </w:p>
    <w:p>
      <w:pPr>
        <w:jc w:val="center"/>
        <w:pBdr>
          <w:top w:val="" w:sz="6"/>
          <w:left w:val="" w:sz="6"/>
          <w:bottom w:val="" w:sz="6"/>
          <w:right w:val="" w:sz="6"/>
        </w:pBdr>
      </w:pPr>
      <w:r>
        <w:rPr>
          <w:rFonts w:ascii="Times New Roman" w:hAnsi="Times New Roman"/>
          <w:b/>
          <w:sz w:val="32"/>
        </w:rPr>
        <w:t/>
      </w:r>
    </w:p>
    <w:p>
      <w:pPr>
        <w:jc w:val="center"/>
        <w:pBdr>
          <w:top w:val="" w:sz="6"/>
          <w:left w:val="" w:sz="6"/>
          <w:bottom w:val="" w:sz="6"/>
          <w:right w:val="" w:sz="6"/>
        </w:pBdr>
      </w:pPr>
      <w:r>
        <w:rPr>
          <w:rFonts w:ascii="Times New Roman" w:hAnsi="Times New Roman"/>
          <w:b/>
          <w:sz w:val="32"/>
        </w:rPr>
        <w:t>Tabela de Valores</w:t>
      </w:r>
    </w:p>
    <w:p>
      <w:pPr>
        <w:jc w:val="center"/>
        <w:pBdr>
          <w:top w:val="" w:sz="6"/>
          <w:left w:val="" w:sz="6"/>
          <w:bottom w:val="" w:sz="6"/>
          <w:right w:val="" w:sz="6"/>
        </w:pBdr>
      </w:pPr>
      <w:r>
        <w:rPr>
          <w:rFonts w:ascii="Times New Roman" w:hAnsi="Times New Roman"/>
          <w:b/>
          <w:sz w:val="56"/>
          <w:color w:val="FF0000"/>
        </w:rPr>
        <w:t/>
      </w:r>
    </w:p>
    <w:tbl>
      <w:tblPr>
        <w:tblW w:w="9229" w:type="dxa"/>
        <w:tblCellMar>
          <w:top w:w="0" w:type="dxa"/>
          <w:left w:w="70" w:type="dxa"/>
          <w:bottom w:w="0" w:type="dxa"/>
          <w:right w:w="70" w:type="dxa"/>
        </w:tblCellMar>
        <w:tblInd w:w="-15" w:type="dxa"/>
      </w:tblPr>
      <w:tblGrid>
        <w:gridCol w:w="2830"/>
        <w:gridCol w:w="2800"/>
        <w:gridCol w:w="3505"/>
      </w:tblGrid>
      <w:tr>
        <w:trPr>
          <w:trHeight w:val="300" w:hRule="atLeast"/>
        </w:trPr>
        <w:tc>
          <w:tcPr>
            <w:tcW w:w="2719" w:type="dxa"/>
            <w:vAlign w:val="center"/>
            <w:tcBorders>
              <w:left w:val="single" w:sz="4" w:color="000000"/>
              <w:top w:val="single" w:sz="4" w:color="000000"/>
              <w:right w:val="single" w:sz="4" w:color="000000"/>
              <w:bottom w:val="single" w:sz="4" w:color="000000"/>
            </w:tcBorders>
          </w:tcPr>
          <w:p>
            <w:pPr>
              <w:jc w:val="center"/>
              <w:pBdr>
                <w:top w:val="" w:sz="6"/>
                <w:left w:val="" w:sz="6"/>
                <w:bottom w:val="" w:sz="6"/>
                <w:right w:val="" w:sz="6"/>
              </w:pBdr>
            </w:pPr>
            <w:r>
              <w:rPr>
                <w:rFonts w:ascii="Times New Roman" w:hAnsi="Times New Roman"/>
                <w:b/>
                <w:sz w:val="24"/>
                <w:color w:val="000000"/>
              </w:rPr>
              <w:t>Agentes Políticos</w:t>
            </w:r>
          </w:p>
        </w:tc>
        <w:tc>
          <w:tcPr>
            <w:tcW w:w="2703" w:type="dxa"/>
            <w:vAlign w:val="center"/>
            <w:tcBorders>
              <w:left w:val="nil"/>
              <w:top w:val="single" w:sz="4" w:color="000000"/>
              <w:right w:val="single" w:sz="4" w:color="000000"/>
              <w:bottom w:val="single" w:sz="4" w:color="000000"/>
            </w:tcBorders>
          </w:tcPr>
          <w:p>
            <w:pPr>
              <w:jc w:val="center"/>
              <w:pBdr>
                <w:top w:val="" w:sz="6"/>
                <w:left w:val="" w:sz="6"/>
                <w:bottom w:val="" w:sz="6"/>
                <w:right w:val="" w:sz="6"/>
              </w:pBdr>
            </w:pPr>
            <w:r>
              <w:rPr>
                <w:rFonts w:ascii="Times New Roman" w:hAnsi="Times New Roman"/>
                <w:b/>
                <w:sz w:val="24"/>
                <w:color w:val="000000"/>
              </w:rPr>
              <w:t>Subsídio Valor Atual</w:t>
            </w:r>
          </w:p>
        </w:tc>
        <w:tc>
          <w:tcPr>
            <w:tcW w:w="3360" w:type="dxa"/>
            <w:vAlign w:val="center"/>
            <w:tcBorders>
              <w:left w:val="nil"/>
              <w:top w:val="single" w:sz="4" w:color="000000"/>
              <w:right w:val="single" w:sz="4" w:color="000000"/>
              <w:bottom w:val="single" w:sz="4" w:color="000000"/>
            </w:tcBorders>
          </w:tcPr>
          <w:p>
            <w:pPr>
              <w:jc w:val="center"/>
              <w:pBdr>
                <w:top w:val="" w:sz="6"/>
                <w:left w:val="" w:sz="6"/>
                <w:bottom w:val="" w:sz="6"/>
                <w:right w:val="" w:sz="6"/>
              </w:pBdr>
            </w:pPr>
            <w:r>
              <w:rPr>
                <w:rFonts w:ascii="Times New Roman" w:hAnsi="Times New Roman"/>
                <w:b/>
                <w:sz w:val="24"/>
                <w:color w:val="000000"/>
              </w:rPr>
              <w:t>Subsídio Valor Corrigido pela Revisão de 7,19%</w:t>
            </w:r>
          </w:p>
        </w:tc>
      </w:tr>
      <w:tr>
        <w:trPr>
          <w:trHeight w:val="300" w:hRule="atLeast"/>
        </w:trPr>
        <w:tc>
          <w:tcPr>
            <w:tcW w:w="2719" w:type="dxa"/>
            <w:vAlign w:val="bottom"/>
            <w:tcBorders>
              <w:left w:val="single" w:sz="4" w:color="000000"/>
              <w:top w:val="nil"/>
              <w:right w:val="single" w:sz="4" w:color="000000"/>
              <w:bottom w:val="single" w:sz="4" w:color="000000"/>
            </w:tcBorders>
          </w:tcPr>
          <w:p>
            <w:pPr>
              <w:pBdr>
                <w:top w:val="" w:sz="6"/>
                <w:left w:val="" w:sz="6"/>
                <w:bottom w:val="" w:sz="6"/>
                <w:right w:val="" w:sz="6"/>
              </w:pBdr>
            </w:pPr>
            <w:r>
              <w:rPr>
                <w:rFonts w:ascii="Times New Roman" w:hAnsi="Times New Roman"/>
                <w:sz w:val="24"/>
                <w:color w:val="000000"/>
              </w:rPr>
              <w:t xml:space="preserve">Vereador </w:t>
            </w:r>
          </w:p>
        </w:tc>
        <w:tc>
          <w:tcPr>
            <w:tcW w:w="2703" w:type="dxa"/>
            <w:vAlign w:val="bottom"/>
            <w:tcBorders>
              <w:left w:val="nil"/>
              <w:top w:val="nil"/>
              <w:right w:val="single" w:sz="4" w:color="auto"/>
              <w:bottom w:val="single" w:sz="4" w:color="auto"/>
            </w:tcBorders>
          </w:tcPr>
          <w:p>
            <w:pPr>
              <w:pBdr>
                <w:top w:val="" w:sz="6"/>
                <w:left w:val="" w:sz="6"/>
                <w:bottom w:val="" w:sz="6"/>
                <w:right w:val="" w:sz="6"/>
              </w:pBdr>
            </w:pPr>
            <w:r>
              <w:rPr>
                <w:rFonts w:ascii="Times New Roman" w:hAnsi="Times New Roman"/>
                <w:sz w:val="24"/>
                <w:color w:val="000000"/>
              </w:rPr>
              <w:t xml:space="preserve"> R$ 3.671,04 </w:t>
            </w:r>
          </w:p>
        </w:tc>
        <w:tc>
          <w:tcPr>
            <w:tcW w:w="3360" w:type="dxa"/>
            <w:vAlign w:val="bottom"/>
            <w:tcBorders>
              <w:left w:val="nil"/>
              <w:top w:val="nil"/>
              <w:right w:val="single" w:sz="4" w:color="auto"/>
              <w:bottom w:val="single" w:sz="4" w:color="auto"/>
            </w:tcBorders>
          </w:tcPr>
          <w:p>
            <w:pPr>
              <w:pBdr>
                <w:top w:val="" w:sz="6"/>
                <w:left w:val="" w:sz="6"/>
                <w:bottom w:val="" w:sz="6"/>
                <w:right w:val="" w:sz="6"/>
              </w:pBdr>
            </w:pPr>
            <w:r>
              <w:rPr>
                <w:rFonts w:ascii="Times New Roman" w:hAnsi="Times New Roman"/>
                <w:sz w:val="24"/>
                <w:color w:val="000000"/>
              </w:rPr>
              <w:t xml:space="preserve"> R$ 3.934,99 </w:t>
            </w:r>
          </w:p>
        </w:tc>
      </w:tr>
      <w:tr>
        <w:trPr>
          <w:trHeight w:val="300" w:hRule="atLeast"/>
        </w:trPr>
        <w:tc>
          <w:tcPr>
            <w:tcW w:w="2719" w:type="dxa"/>
            <w:vAlign w:val="bottom"/>
            <w:tcBorders>
              <w:left w:val="single" w:sz="4" w:color="000000"/>
              <w:top w:val="nil"/>
              <w:right w:val="single" w:sz="4" w:color="000000"/>
              <w:bottom w:val="single" w:sz="4" w:color="000000"/>
            </w:tcBorders>
          </w:tcPr>
          <w:p>
            <w:pPr>
              <w:pBdr>
                <w:top w:val="" w:sz="6"/>
                <w:left w:val="" w:sz="6"/>
                <w:bottom w:val="" w:sz="6"/>
                <w:right w:val="" w:sz="6"/>
              </w:pBdr>
            </w:pPr>
            <w:r>
              <w:rPr>
                <w:rFonts w:ascii="Times New Roman" w:hAnsi="Times New Roman"/>
                <w:sz w:val="24"/>
                <w:color w:val="000000"/>
              </w:rPr>
              <w:t>Presidente da Câmara</w:t>
            </w:r>
          </w:p>
        </w:tc>
        <w:tc>
          <w:tcPr>
            <w:tcW w:w="2703" w:type="dxa"/>
            <w:vAlign w:val="bottom"/>
            <w:tcBorders>
              <w:left w:val="nil"/>
              <w:top w:val="nil"/>
              <w:right w:val="single" w:sz="4" w:color="auto"/>
              <w:bottom w:val="single" w:sz="4" w:color="auto"/>
            </w:tcBorders>
          </w:tcPr>
          <w:p>
            <w:pPr>
              <w:pBdr>
                <w:top w:val="" w:sz="6"/>
                <w:left w:val="" w:sz="6"/>
                <w:bottom w:val="" w:sz="6"/>
                <w:right w:val="" w:sz="6"/>
              </w:pBdr>
            </w:pPr>
            <w:r>
              <w:rPr>
                <w:rFonts w:ascii="Times New Roman" w:hAnsi="Times New Roman"/>
                <w:sz w:val="24"/>
                <w:color w:val="000000"/>
              </w:rPr>
              <w:t xml:space="preserve"> R$ 4.232,36 </w:t>
            </w:r>
          </w:p>
        </w:tc>
        <w:tc>
          <w:tcPr>
            <w:tcW w:w="3360" w:type="dxa"/>
            <w:vAlign w:val="bottom"/>
            <w:tcBorders>
              <w:left w:val="nil"/>
              <w:top w:val="nil"/>
              <w:right w:val="single" w:sz="4" w:color="auto"/>
              <w:bottom w:val="single" w:sz="4" w:color="auto"/>
            </w:tcBorders>
          </w:tcPr>
          <w:p>
            <w:pPr>
              <w:pBdr>
                <w:top w:val="" w:sz="6"/>
                <w:left w:val="" w:sz="6"/>
                <w:bottom w:val="" w:sz="6"/>
                <w:right w:val="" w:sz="6"/>
              </w:pBdr>
            </w:pPr>
            <w:r>
              <w:rPr>
                <w:rFonts w:ascii="Times New Roman" w:hAnsi="Times New Roman"/>
                <w:sz w:val="24"/>
                <w:color w:val="000000"/>
              </w:rPr>
              <w:t xml:space="preserve"> R$ 4.536,67 </w:t>
            </w:r>
          </w:p>
        </w:tc>
      </w:tr>
      <w:tr>
        <w:trPr>
          <w:trHeight w:val="300" w:hRule="atLeast"/>
        </w:trPr>
        <w:tc>
          <w:tcPr>
            <w:tcW w:w="2719" w:type="dxa"/>
            <w:vAlign w:val="bottom"/>
            <w:tcBorders>
              <w:left w:val="single" w:sz="4" w:color="000000"/>
              <w:top w:val="nil"/>
              <w:right w:val="single" w:sz="4" w:color="000000"/>
              <w:bottom w:val="single" w:sz="4" w:color="000000"/>
            </w:tcBorders>
          </w:tcPr>
          <w:p>
            <w:pPr>
              <w:pBdr>
                <w:top w:val="" w:sz="6"/>
                <w:left w:val="" w:sz="6"/>
                <w:bottom w:val="" w:sz="6"/>
                <w:right w:val="" w:sz="6"/>
              </w:pBdr>
            </w:pPr>
            <w:r>
              <w:rPr>
                <w:rFonts w:ascii="Times New Roman" w:hAnsi="Times New Roman"/>
                <w:sz w:val="24"/>
                <w:color w:val="000000"/>
              </w:rPr>
              <w:t>Prefeito  Municipal</w:t>
            </w:r>
          </w:p>
        </w:tc>
        <w:tc>
          <w:tcPr>
            <w:tcW w:w="2703" w:type="dxa"/>
            <w:vAlign w:val="bottom"/>
            <w:tcBorders>
              <w:left w:val="nil"/>
              <w:top w:val="nil"/>
              <w:right w:val="single" w:sz="4" w:color="auto"/>
              <w:bottom w:val="single" w:sz="4" w:color="auto"/>
            </w:tcBorders>
          </w:tcPr>
          <w:p>
            <w:pPr>
              <w:pBdr>
                <w:top w:val="" w:sz="6"/>
                <w:left w:val="" w:sz="6"/>
                <w:bottom w:val="" w:sz="6"/>
                <w:right w:val="" w:sz="6"/>
              </w:pBdr>
            </w:pPr>
            <w:r>
              <w:rPr>
                <w:rFonts w:ascii="Times New Roman" w:hAnsi="Times New Roman"/>
                <w:sz w:val="24"/>
                <w:color w:val="000000"/>
              </w:rPr>
              <w:t xml:space="preserve"> R$ 14.115,02 </w:t>
            </w:r>
          </w:p>
        </w:tc>
        <w:tc>
          <w:tcPr>
            <w:tcW w:w="3360" w:type="dxa"/>
            <w:vAlign w:val="bottom"/>
            <w:tcBorders>
              <w:left w:val="nil"/>
              <w:top w:val="nil"/>
              <w:right w:val="single" w:sz="4" w:color="auto"/>
              <w:bottom w:val="single" w:sz="4" w:color="auto"/>
            </w:tcBorders>
          </w:tcPr>
          <w:p>
            <w:pPr>
              <w:pBdr>
                <w:top w:val="" w:sz="6"/>
                <w:left w:val="" w:sz="6"/>
                <w:bottom w:val="" w:sz="6"/>
                <w:right w:val="" w:sz="6"/>
              </w:pBdr>
            </w:pPr>
            <w:r>
              <w:rPr>
                <w:rFonts w:ascii="Times New Roman" w:hAnsi="Times New Roman"/>
                <w:sz w:val="24"/>
                <w:color w:val="000000"/>
              </w:rPr>
              <w:t xml:space="preserve"> R$ 15.129,89 </w:t>
            </w:r>
          </w:p>
        </w:tc>
      </w:tr>
      <w:tr>
        <w:trPr>
          <w:trHeight w:val="300" w:hRule="atLeast"/>
        </w:trPr>
        <w:tc>
          <w:tcPr>
            <w:tcW w:w="2719" w:type="dxa"/>
            <w:vAlign w:val="bottom"/>
            <w:tcBorders>
              <w:left w:val="single" w:sz="4" w:color="000000"/>
              <w:top w:val="nil"/>
              <w:right w:val="single" w:sz="4" w:color="000000"/>
              <w:bottom w:val="single" w:sz="4" w:color="000000"/>
            </w:tcBorders>
          </w:tcPr>
          <w:p>
            <w:pPr>
              <w:pBdr>
                <w:top w:val="" w:sz="6"/>
                <w:left w:val="" w:sz="6"/>
                <w:bottom w:val="" w:sz="6"/>
                <w:right w:val="" w:sz="6"/>
              </w:pBdr>
            </w:pPr>
            <w:r>
              <w:rPr>
                <w:rFonts w:ascii="Times New Roman" w:hAnsi="Times New Roman"/>
                <w:sz w:val="24"/>
                <w:color w:val="000000"/>
              </w:rPr>
              <w:t>Vice Prefeito Municipal</w:t>
            </w:r>
          </w:p>
        </w:tc>
        <w:tc>
          <w:tcPr>
            <w:tcW w:w="2703" w:type="dxa"/>
            <w:vAlign w:val="bottom"/>
            <w:tcBorders>
              <w:left w:val="nil"/>
              <w:top w:val="nil"/>
              <w:right w:val="single" w:sz="4" w:color="auto"/>
              <w:bottom w:val="single" w:sz="4" w:color="auto"/>
            </w:tcBorders>
          </w:tcPr>
          <w:p>
            <w:pPr>
              <w:pBdr>
                <w:top w:val="" w:sz="6"/>
                <w:left w:val="" w:sz="6"/>
                <w:bottom w:val="" w:sz="6"/>
                <w:right w:val="" w:sz="6"/>
              </w:pBdr>
            </w:pPr>
            <w:r>
              <w:rPr>
                <w:rFonts w:ascii="Times New Roman" w:hAnsi="Times New Roman"/>
                <w:sz w:val="24"/>
                <w:color w:val="000000"/>
              </w:rPr>
              <w:t xml:space="preserve"> R$  3.671,04 </w:t>
            </w:r>
          </w:p>
        </w:tc>
        <w:tc>
          <w:tcPr>
            <w:tcW w:w="3360" w:type="dxa"/>
            <w:vAlign w:val="bottom"/>
            <w:tcBorders>
              <w:left w:val="nil"/>
              <w:top w:val="nil"/>
              <w:right w:val="single" w:sz="4" w:color="auto"/>
              <w:bottom w:val="single" w:sz="4" w:color="auto"/>
            </w:tcBorders>
          </w:tcPr>
          <w:p>
            <w:pPr>
              <w:pBdr>
                <w:top w:val="" w:sz="6"/>
                <w:left w:val="" w:sz="6"/>
                <w:bottom w:val="" w:sz="6"/>
                <w:right w:val="" w:sz="6"/>
              </w:pBdr>
            </w:pPr>
            <w:r>
              <w:rPr>
                <w:rFonts w:ascii="Times New Roman" w:hAnsi="Times New Roman"/>
                <w:sz w:val="24"/>
                <w:color w:val="000000"/>
              </w:rPr>
              <w:t xml:space="preserve"> R$  3.934,99 </w:t>
            </w:r>
          </w:p>
        </w:tc>
      </w:tr>
    </w:tbl>
    <w:p>
      <w:pPr>
        <w:ind w:left="-15"/>
        <w:pBdr>
          <w:top w:val="" w:sz="6"/>
          <w:left w:val="" w:sz="6"/>
          <w:bottom w:val="" w:sz="6"/>
          <w:right w:val="" w:sz="6"/>
        </w:pBdr>
      </w:pPr>
      <w:r>
        <w:rPr>
          <w:rFonts w:ascii="Times New Roman" w:hAnsi="Times New Roman"/>
          <w:b/>
          <w:sz w:val="56"/>
          <w:color w:val="FF0000"/>
        </w:rPr>
        <w:t/>
      </w:r>
    </w:p>
    <w:sectPr>
      <w:headerReference w:type="default" r:id="rIdHF0"/>
      <w:footerReference w:type="default" r:id="rIdHF1"/>
      <w:pgSz w:w="11906" w:h="16838"/>
      <w:pgMar w:top="1417" w:right="850" w:bottom="1417" w:left="1984" w:header="567" w:footer="567" w:gutter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charset w:val="01"/>
  </w:font>
  <w:font w:name="Tahoma">
    <w:charset w:val="01"/>
  </w:font>
  <w:font w:name="Times New Roman">
    <w:charset w:val="00"/>
  </w:font>
</w:fonts>
</file>

<file path=word/footer.xml><?xml version="1.0" encoding="utf-8"?>
<w:ftr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Bdr>
          <w:top w:val="" w:sz="6"/>
          <w:left w:val="" w:sz="6"/>
          <w:bottom w:val="" w:sz="6"/>
          <w:right w:val="" w:sz="6"/>
        </w:pBdr>
      </w:pPr>
      <w:r>
        <w:t/>
      </w:r>
    </w:p>
    <w:p>
      <w:pPr>
        <w:pBdr>
          <w:top w:val="" w:sz="6"/>
          <w:left w:val="" w:sz="6"/>
          <w:bottom w:val="" w:sz="6"/>
          <w:right w:val="" w:sz="6"/>
        </w:pBdr>
      </w:pPr>
      <w:r>
        <w:rPr>
          <w:sz w:val="24"/>
        </w:rPr>
        <w:t/>
      </w:r>
    </w:p>
  </w:body>
</w:ftr>
</file>

<file path=word/header.xml><?xml version="1.0" encoding="utf-8"?>
<w:hdr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8985" w:type="dxa"/>
        <w:jc w:val="center"/>
        <w:tblBorders>
          <w:left w:val="single" w:sz="6" w:color="auto"/>
          <w:top w:val="single" w:sz="6" w:color="auto"/>
          <w:right w:val="single" w:sz="6" w:color="auto"/>
          <w:bottom w:val="single" w:sz="6" w:color="auto"/>
        </w:tblBorders>
        <w:tblCellMar>
          <w:top w:w="15" w:type="dxa"/>
          <w:left w:w="15" w:type="dxa"/>
          <w:bottom w:w="15" w:type="dxa"/>
          <w:right w:w="15" w:type="dxa"/>
        </w:tblCellMar>
        <w:tblCellSpacing w:w="8" w:type="dxa"/>
      </w:tblPr>
      <w:tblGrid>
        <w:gridCol w:w="2070"/>
        <w:gridCol w:w="6855"/>
      </w:tblGrid>
      <w:tr>
        <w:trPr>
          <w:trHeight w:val="1890" w:hRule="atLeast"/>
        </w:trPr>
        <w:tc>
          <w:tcPr>
            <w:tcW w:w="1965" w:type="dxa"/>
          </w:tcPr>
          <w:p>
            <w:pPr>
              <w:pBdr>
                <w:top w:val="" w:sz="6"/>
                <w:left w:val="" w:sz="6"/>
                <w:bottom w:val="" w:sz="6"/>
                <w:right w:val="" w:sz="6"/>
              </w:pBdr>
            </w:pPr>
            <w:r>
              <w:drawing>
                <wp:inline distT="0" distB="0" distL="0" distR="0">
                  <wp:extent cx="1257300" cy="1181100"/>
                  <wp:effectExtent l="0" t="0" r="0" b="0"/>
                  <wp:docPr id="1" name="Pic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1.png"/>
                          <pic:cNvPicPr/>
                        </pic:nvPicPr>
                        <pic:blipFill>
                          <a:blip r:embed="prId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57300" cy="1181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825" w:type="dxa"/>
            <w:vAlign w:val="center"/>
          </w:tcPr>
          <w:p>
            <w:pPr>
              <w:jc w:val="center"/>
              <w:pBdr>
                <w:top w:val="" w:sz="6"/>
                <w:left w:val="" w:sz="6"/>
                <w:bottom w:val="" w:sz="6"/>
                <w:right w:val="" w:sz="6"/>
              </w:pBdr>
            </w:pPr>
            <w:r>
              <w:rPr>
                <w:rFonts w:ascii="Palatino Linotype" w:hAnsi="Palatino Linotype"/>
                <w:b/>
                <w:i/>
                <w:sz w:val="34"/>
              </w:rPr>
              <w:t xml:space="preserve">Prefeitura Municipal de Sales Oliveira </w:t>
            </w:r>
            <w:r>
              <w:rPr>
                <w:rFonts w:ascii="Palatino Linotype" w:hAnsi="Palatino Linotype"/>
                <w:b/>
                <w:i/>
                <w:sz w:val="34"/>
              </w:rPr>
              <w:t>–</w:t>
            </w:r>
            <w:r>
              <w:rPr>
                <w:rFonts w:ascii="Palatino Linotype" w:hAnsi="Palatino Linotype"/>
                <w:b/>
                <w:i/>
                <w:sz w:val="34"/>
              </w:rPr>
              <w:t xml:space="preserve"> SP</w:t>
            </w:r>
          </w:p>
          <w:p>
            <w:pPr>
              <w:jc w:val="center"/>
              <w:pBdr>
                <w:top w:val="" w:sz="6"/>
                <w:left w:val="" w:sz="6"/>
                <w:bottom w:val="" w:sz="6"/>
                <w:right w:val="" w:sz="6"/>
              </w:pBdr>
            </w:pPr>
            <w:r>
              <w:rPr>
                <w:rFonts w:ascii="Palatino Linotype" w:hAnsi="Palatino Linotype"/>
                <w:sz w:val="16"/>
              </w:rPr>
              <w:t>Pra</w:t>
            </w:r>
            <w:r>
              <w:rPr>
                <w:rFonts w:ascii="Palatino Linotype" w:hAnsi="Palatino Linotype"/>
                <w:sz w:val="16"/>
              </w:rPr>
              <w:t>ç</w:t>
            </w:r>
            <w:r>
              <w:rPr>
                <w:rFonts w:ascii="Palatino Linotype" w:hAnsi="Palatino Linotype"/>
                <w:sz w:val="16"/>
              </w:rPr>
              <w:t xml:space="preserve">a Domingos Tavares Barradas, s/n </w:t>
            </w:r>
            <w:r>
              <w:rPr>
                <w:rFonts w:ascii="Palatino Linotype" w:hAnsi="Palatino Linotype"/>
                <w:sz w:val="16"/>
              </w:rPr>
              <w:t>–</w:t>
            </w:r>
            <w:r>
              <w:rPr>
                <w:rFonts w:ascii="Palatino Linotype" w:hAnsi="Palatino Linotype"/>
                <w:sz w:val="16"/>
              </w:rPr>
              <w:t xml:space="preserve"> Centro </w:t>
            </w:r>
            <w:r>
              <w:rPr>
                <w:rFonts w:ascii="Palatino Linotype" w:hAnsi="Palatino Linotype"/>
                <w:sz w:val="16"/>
              </w:rPr>
              <w:t>–</w:t>
            </w:r>
            <w:r>
              <w:rPr>
                <w:rFonts w:ascii="Palatino Linotype" w:hAnsi="Palatino Linotype"/>
                <w:sz w:val="16"/>
              </w:rPr>
              <w:t xml:space="preserve"> Sales Oliveira </w:t>
            </w:r>
            <w:r>
              <w:rPr>
                <w:rFonts w:ascii="Palatino Linotype" w:hAnsi="Palatino Linotype"/>
                <w:sz w:val="16"/>
              </w:rPr>
              <w:t>–</w:t>
            </w:r>
            <w:r>
              <w:rPr>
                <w:rFonts w:ascii="Palatino Linotype" w:hAnsi="Palatino Linotype"/>
                <w:sz w:val="16"/>
              </w:rPr>
              <w:t xml:space="preserve"> SP </w:t>
            </w:r>
            <w:r>
              <w:rPr>
                <w:rFonts w:ascii="Palatino Linotype" w:hAnsi="Palatino Linotype"/>
                <w:sz w:val="16"/>
              </w:rPr>
              <w:t>–</w:t>
            </w:r>
            <w:r>
              <w:rPr>
                <w:rFonts w:ascii="Palatino Linotype" w:hAnsi="Palatino Linotype"/>
                <w:sz w:val="16"/>
              </w:rPr>
              <w:t xml:space="preserve"> CEP 14660-000</w:t>
            </w:r>
          </w:p>
          <w:p>
            <w:pPr>
              <w:jc w:val="center"/>
              <w:pBdr>
                <w:top w:val="" w:sz="6"/>
                <w:left w:val="" w:sz="6"/>
                <w:bottom w:val="" w:sz="6"/>
                <w:right w:val="" w:sz="6"/>
              </w:pBdr>
            </w:pPr>
            <w:r>
              <w:rPr>
                <w:rFonts w:ascii="Palatino Linotype" w:hAnsi="Palatino Linotype"/>
                <w:sz w:val="16"/>
              </w:rPr>
              <w:t xml:space="preserve">Fone:(16) 3852-0200 - Fax:(16) 3852-1610 </w:t>
            </w:r>
            <w:r>
              <w:rPr>
                <w:rFonts w:ascii="Palatino Linotype" w:hAnsi="Palatino Linotype"/>
                <w:sz w:val="16"/>
              </w:rPr>
              <w:t>–</w:t>
            </w:r>
            <w:r>
              <w:rPr>
                <w:rFonts w:ascii="Palatino Linotype" w:hAnsi="Palatino Linotype"/>
                <w:sz w:val="16"/>
              </w:rPr>
              <w:t xml:space="preserve"> E-mail: </w:t>
            </w:r>
            <w:hyperlink r:id="hrId1">
              <w:r>
                <w:rPr>
                  <w:rFonts w:ascii="Palatino Linotype" w:hAnsi="Palatino Linotype"/>
                  <w:u w:val="single"/>
                  <w:sz w:val="16"/>
                  <w:color w:val="0000FF"/>
                </w:rPr>
                <w:t>administracao@salesoliveira.sp.gov.br</w:t>
              </w:r>
            </w:hyperlink>
          </w:p>
          <w:p>
            <w:pPr>
              <w:jc w:val="center"/>
              <w:pBdr>
                <w:top w:val="" w:sz="6"/>
                <w:left w:val="" w:sz="6"/>
                <w:bottom w:val="" w:sz="6"/>
                <w:right w:val="" w:sz="6"/>
              </w:pBdr>
            </w:pPr>
            <w:r>
              <w:rPr>
                <w:rFonts w:ascii="Palatino Linotype" w:hAnsi="Palatino Linotype"/>
                <w:sz w:val="16"/>
              </w:rPr>
              <w:t xml:space="preserve">Site Oficial: </w:t>
            </w:r>
            <w:hyperlink r:id="hrId2">
              <w:r>
                <w:rPr>
                  <w:rFonts w:ascii="Palatino Linotype" w:hAnsi="Palatino Linotype"/>
                  <w:u w:val="single"/>
                  <w:sz w:val="16"/>
                  <w:color w:val="0000FF"/>
                </w:rPr>
                <w:t>www.salesoliveira.sp.gov.br</w:t>
              </w:r>
            </w:hyperlink>
          </w:p>
          <w:p>
            <w:pPr>
              <w:jc w:val="center"/>
              <w:pBdr>
                <w:top w:val="" w:sz="6"/>
                <w:left w:val="" w:sz="6"/>
                <w:bottom w:val="" w:sz="6"/>
                <w:right w:val="" w:sz="6"/>
              </w:pBdr>
            </w:pPr>
            <w:r>
              <w:rPr>
                <w:rFonts w:ascii="Palatino Linotype" w:hAnsi="Palatino Linotype"/>
                <w:sz w:val="16"/>
              </w:rPr>
              <w:t>CNPJ: 46.756.029/0001-07</w:t>
            </w:r>
          </w:p>
        </w:tc>
      </w:tr>
    </w:tbl>
    <w:p>
      <w:pPr>
        <w:pBdr>
          <w:top w:val="" w:sz="6"/>
          <w:left w:val="" w:sz="6"/>
          <w:bottom w:val="" w:sz="6"/>
          <w:right w:val="" w:sz="6"/>
        </w:pBdr>
      </w:pPr>
      <w:r>
        <w:rPr>
          <w:rFonts w:ascii="Palatino Linotype" w:hAnsi="Palatino Linotype"/>
          <w:b/>
          <w:i/>
          <w:sz w:val="40"/>
        </w:rPr>
        <w:t/>
      </w:r>
    </w:p>
    <w:p>
      <w:pPr>
        <w:jc w:val="center"/>
        <w:ind w:firstLine="1980"/>
        <w:tabs>
          <w:tab w:val="left" w:pos="2560"/>
        </w:tabs>
      </w:pPr>
      <w:r>
        <w:rPr>
          <w:rFonts w:ascii="Palatino Linotype" w:hAnsi="Palatino Linotype"/>
          <w:sz w:val="18"/>
        </w:rPr>
        <w:t/>
      </w:r>
    </w:p>
  </w:body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>
  <w:zoom w:percent="100"/>
  <w:compat>
    <w:compatSetting w:name="compatibilityMode" w:uri="http://schemas.microsoft.com/office/word" w:val="15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pPr>
        <w:spacing w:after="0" w:before="0" w:line="240" w:lineRule="auto"/>
      </w:pPr>
    </w:rPrDefault>
    <w:rPrDefault>
      <w:rPr>
        <w:rFonts w:ascii="Arial" w:hAnsi="Arial"/>
        <w:sz w:val="20"/>
      </w:rPr>
    </w:rPrDefault>
  </w:docDefaults>
  <w:style w:type="paragraph" w:default="1" w:styleId="0">
    <w:name w:val="Normal"/>
    <w:qFormat/>
  </w:style>
</w:styles>
</file>

<file path=word/_rels/document.xml.rels><?xml version="1.0" encoding="UTF-8" standalone="yes"?>
<Relationships xmlns="http://schemas.openxmlformats.org/package/2006/relationships"><Relationship Id="rIdFT" Type="http://schemas.openxmlformats.org/officeDocument/2006/relationships/fontTable" Target="fontTable.xml"/><Relationship Id="rIdSt" Type="http://schemas.openxmlformats.org/officeDocument/2006/relationships/styles" Target="styles.xml"/><Relationship Id="rIdHF0" Type="http://schemas.openxmlformats.org/officeDocument/2006/relationships/header" Target="header.xml"/><Relationship Id="rIdHF1" Type="http://schemas.openxmlformats.org/officeDocument/2006/relationships/footer" Target="footer.xml"/><Relationship Id="rIdSet" Type="http://schemas.openxmlformats.org/officeDocument/2006/relationships/settings" Target="settings.xml"/></Relationships>
</file>

<file path=word/_rels/header.xml.rels><?xml version="1.0" encoding="UTF-8" standalone="yes"?>
<Relationships xmlns="http://schemas.openxmlformats.org/package/2006/relationships"><Relationship Id="hrId1" Type="http://schemas.openxmlformats.org/officeDocument/2006/relationships/hyperlink" Target="mailto:administracao@salesoliveira.sp.gov.br" TargetMode="External"/><Relationship Id="hrId2" Type="http://schemas.openxmlformats.org/officeDocument/2006/relationships/hyperlink" Target="http://www.salesoliveira.sp.gov.br" TargetMode="External"/><Relationship Id="prId1" Type="http://schemas.openxmlformats.org/officeDocument/2006/relationships/image" Target="media/img1.png"/></Relationships>
</file>