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 w14:paraId="18679D50">
      <w:pPr>
        <w:pStyle w:val="89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PROJETO DE LEI Nº ____/2026</w:t>
      </w:r>
      <w:r>
        <w:rPr>
          <w:rFonts w:ascii="Calibri" w:hAnsi="Calibri" w:eastAsia="Calibri" w:cs="Calibri"/>
          <w:sz w:val="24"/>
          <w:szCs w:val="24"/>
        </w:rPr>
      </w:r>
    </w:p>
    <w:p w14:paraId="0840D6B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2ECF65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3402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AUTORIZA A CRIAÇÃO, NO ÂMBITO DO MUNICÍPIO DE MACAÉ, LINHAS ESPECIAIS DE FINANCIAMENTO, APOIO E INCENTIVO AOS TAXISTAS E PROPRIETÁRIOS DE VEÍCULOS DESTINADOS AO TRANSPORTE ESCOLAR, COM RECURSOS ORIUNDOS DO FUNDO MUNICIPAL DE ECONOMIA POPULAR, JUSTA E SOLIDÁRIA – FUM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EPJUS, E DÁ OUTRAS PROVIDÊNCIAS.</w:t>
      </w:r>
      <w:r>
        <w:rPr>
          <w:rFonts w:ascii="Calibri" w:hAnsi="Calibri" w:eastAsia="Calibri" w:cs="Calibri"/>
          <w:sz w:val="24"/>
          <w:szCs w:val="24"/>
        </w:rPr>
      </w:r>
    </w:p>
    <w:p w14:paraId="29091B50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76ABE6C9">
      <w:pPr>
        <w:pBdr/>
        <w:spacing w:after="0" w:afterAutospacing="0" w:before="0" w:beforeAutospacing="0" w:line="360" w:lineRule="auto"/>
        <w:ind/>
        <w:jc w:val="both"/>
        <w:rPr>
          <w:rFonts w:ascii="Calibri" w:hAnsi="Calibri" w:eastAsia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  <w:t xml:space="preserve">A CÂMARA MUNICIPAL DE MACAÉ, Estado do RIO DE JANEIRO, no uso de suas atribuições legais, aprova e eu, PREFEITO MUNICIPAL, sanciono a seguinte Lei: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p w14:paraId="1DD1D6E4">
      <w:pPr>
        <w:pBdr/>
        <w:spacing w:after="0" w:afterAutospacing="0" w:before="0" w:beforeAutospacing="0" w:line="360" w:lineRule="auto"/>
        <w:ind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1AB4B263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Fica o Poder Executivo autorizado a instituir, no âmbito do Fundo Municipal de Economia Popular, Justa e Solidária – FUMEPJUS, linhas especiais de crédito destinadas ao apoio, incentivo, modernização e renovação da frota utilizada pelos taxistas e propriet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ários de veículos de transporte escolar do Município de Macaé.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5365C04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281612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§1º Para fins de divulgação e controle, os programas serão denominados:</w:t>
      </w:r>
      <w:r>
        <w:rPr>
          <w:rFonts w:ascii="Calibri" w:hAnsi="Calibri" w:eastAsia="Calibri" w:cs="Calibri"/>
          <w:sz w:val="24"/>
          <w:szCs w:val="24"/>
        </w:rPr>
      </w:r>
    </w:p>
    <w:p w14:paraId="21C8F55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FUMEPJUS TAXI;</w:t>
      </w:r>
      <w:r>
        <w:rPr>
          <w:rFonts w:ascii="Calibri" w:hAnsi="Calibri" w:cs="Calibri"/>
          <w:sz w:val="24"/>
          <w:szCs w:val="24"/>
        </w:rPr>
      </w:r>
    </w:p>
    <w:p w14:paraId="1F8DD8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FUMEPJUS TRANSPORTE ESCOLAR.</w:t>
      </w:r>
      <w:r>
        <w:rPr>
          <w:rFonts w:ascii="Calibri" w:hAnsi="Calibri" w:eastAsia="Calibri" w:cs="Calibri"/>
          <w:sz w:val="24"/>
          <w:szCs w:val="24"/>
        </w:rPr>
      </w:r>
      <w:r/>
    </w:p>
    <w:p w14:paraId="20F4E3D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0A318F0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§2º Os financiamentos utilizarão recursos próprios do FUMEPJUS, observadas as normas legais, orçamentárias e regulamentares aplicáveis.</w:t>
      </w:r>
      <w:r>
        <w:rPr>
          <w:rFonts w:ascii="Calibri" w:hAnsi="Calibri" w:eastAsia="Calibri" w:cs="Calibri"/>
          <w:sz w:val="24"/>
          <w:szCs w:val="24"/>
        </w:rPr>
      </w:r>
    </w:p>
    <w:p w14:paraId="1F6002D9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1E61B86B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2º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linha de crédito FUMEPJUS TAXI será destinada aos taxistas titulares de autorização, permissão ou concessão para exploração do serviço de transporte individual de passageiros no Município.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05398075">
      <w:pPr>
        <w:pBdr/>
        <w:spacing/>
        <w:ind/>
        <w:rPr/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  <w:r/>
    </w:p>
    <w:p w14:paraId="2959B8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Parágrafo único. Considera-se taxista, para os efeitos desta Lei, a pessoa física que:</w:t>
      </w:r>
      <w:r>
        <w:rPr>
          <w:rFonts w:ascii="Calibri" w:hAnsi="Calibri" w:eastAsia="Calibri" w:cs="Calibri"/>
          <w:sz w:val="24"/>
          <w:szCs w:val="24"/>
        </w:rPr>
      </w:r>
    </w:p>
    <w:p w14:paraId="07C413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possua habilitação compatível para condução de veículo de transporte remunerado de passageiros;</w:t>
      </w:r>
      <w:r>
        <w:rPr>
          <w:rFonts w:ascii="Calibri" w:hAnsi="Calibri" w:eastAsia="Calibri" w:cs="Calibri"/>
          <w:sz w:val="24"/>
          <w:szCs w:val="24"/>
        </w:rPr>
      </w:r>
    </w:p>
    <w:p w14:paraId="18D151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possua autorização municipal válida para exercício da atividade;</w:t>
      </w:r>
      <w:r>
        <w:rPr>
          <w:rFonts w:ascii="Calibri" w:hAnsi="Calibri" w:eastAsia="Calibri" w:cs="Calibri"/>
          <w:sz w:val="24"/>
          <w:szCs w:val="24"/>
        </w:rPr>
      </w:r>
    </w:p>
    <w:p w14:paraId="3784F35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possua veículo devidamente licenciado e autorizado pelo órgão municipal competente.</w:t>
      </w:r>
      <w:r>
        <w:rPr>
          <w:rFonts w:ascii="Calibri" w:hAnsi="Calibri" w:eastAsia="Calibri" w:cs="Calibri"/>
          <w:sz w:val="24"/>
          <w:szCs w:val="24"/>
        </w:rPr>
      </w:r>
    </w:p>
    <w:p w14:paraId="3BFCA9B2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1856166E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3º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 linha de crédito FUMEPJUS TRANSPORTE ESCOLAR será destinada aos proprietários de veículos destinados ao transporte escolar regularmente autorizados pelo Município.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754C2652">
      <w:pPr>
        <w:pBdr/>
        <w:spacing/>
        <w:ind/>
        <w:rPr/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  <w:r/>
    </w:p>
    <w:p w14:paraId="00A8E99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Parágrafo único. Para os efeitos desta Lei, considera-se transportador escolar a pessoa física ou jurídica que:</w:t>
      </w:r>
      <w:r>
        <w:rPr>
          <w:rFonts w:ascii="Calibri" w:hAnsi="Calibri" w:eastAsia="Calibri" w:cs="Calibri"/>
          <w:sz w:val="24"/>
          <w:szCs w:val="24"/>
        </w:rPr>
      </w:r>
    </w:p>
    <w:p w14:paraId="2FAD89F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possua autorização municipal válida para exploração do serviço;</w:t>
      </w:r>
      <w:r>
        <w:rPr>
          <w:rFonts w:ascii="Calibri" w:hAnsi="Calibri" w:eastAsia="Calibri" w:cs="Calibri"/>
          <w:sz w:val="24"/>
          <w:szCs w:val="24"/>
        </w:rPr>
      </w:r>
    </w:p>
    <w:p w14:paraId="7BB7A4A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mantenha veículo adequado às exigências da legislação de trânsito e das normas municipais;</w:t>
      </w:r>
      <w:r>
        <w:rPr>
          <w:rFonts w:ascii="Calibri" w:hAnsi="Calibri" w:eastAsia="Calibri" w:cs="Calibri"/>
          <w:sz w:val="24"/>
          <w:szCs w:val="24"/>
        </w:rPr>
      </w:r>
    </w:p>
    <w:p w14:paraId="6D1E287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esteja regularmente inscrita perante os órgãos competentes.</w:t>
      </w:r>
      <w:r>
        <w:rPr>
          <w:rFonts w:ascii="Calibri" w:hAnsi="Calibri" w:eastAsia="Calibri" w:cs="Calibri"/>
          <w:sz w:val="24"/>
          <w:szCs w:val="24"/>
        </w:rPr>
      </w:r>
    </w:p>
    <w:p w14:paraId="6DDAF446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7F2713D3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4º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 financiamentos previstos nesta Lei terão por finalidade: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0B5F55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784F6E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aquisição de veículos novos;</w:t>
      </w:r>
      <w:r>
        <w:rPr>
          <w:rFonts w:ascii="Calibri" w:hAnsi="Calibri" w:eastAsia="Calibri" w:cs="Calibri"/>
          <w:sz w:val="24"/>
          <w:szCs w:val="24"/>
        </w:rPr>
      </w:r>
    </w:p>
    <w:p w14:paraId="2CCF649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aquisição de veículos seminovos com até 5 (cinco) anos de fabricação;</w:t>
      </w:r>
      <w:r>
        <w:rPr>
          <w:rFonts w:ascii="Calibri" w:hAnsi="Calibri" w:eastAsia="Calibri" w:cs="Calibri"/>
          <w:sz w:val="24"/>
          <w:szCs w:val="24"/>
        </w:rPr>
      </w:r>
    </w:p>
    <w:p w14:paraId="057B43A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renovação ou substituição da frota;</w:t>
      </w:r>
      <w:r>
        <w:rPr>
          <w:rFonts w:ascii="Calibri" w:hAnsi="Calibri" w:eastAsia="Calibri" w:cs="Calibri"/>
          <w:sz w:val="24"/>
          <w:szCs w:val="24"/>
        </w:rPr>
      </w:r>
    </w:p>
    <w:p w14:paraId="23FE711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IV – adaptação de acessibilidade;</w:t>
      </w:r>
      <w:r>
        <w:rPr>
          <w:rFonts w:ascii="Calibri" w:hAnsi="Calibri" w:eastAsia="Calibri" w:cs="Calibri"/>
          <w:sz w:val="24"/>
          <w:szCs w:val="24"/>
        </w:rPr>
      </w:r>
    </w:p>
    <w:p w14:paraId="228C710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V – instalação de equipamentos de segurança;</w:t>
      </w:r>
      <w:r>
        <w:rPr>
          <w:rFonts w:ascii="Calibri" w:hAnsi="Calibri" w:eastAsia="Calibri" w:cs="Calibri"/>
          <w:sz w:val="24"/>
          <w:szCs w:val="24"/>
        </w:rPr>
      </w:r>
    </w:p>
    <w:p w14:paraId="70B3F7E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VI – regularização documental e adequação às exigências legais do serviço.</w:t>
      </w:r>
      <w:r>
        <w:rPr>
          <w:rFonts w:ascii="Calibri" w:hAnsi="Calibri" w:eastAsia="Calibri" w:cs="Calibri"/>
          <w:sz w:val="24"/>
          <w:szCs w:val="24"/>
        </w:rPr>
      </w:r>
    </w:p>
    <w:p w14:paraId="5F1C2773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1CB4C49D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5º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valor máximo do financiamento será de até R$ 80.000,00 (oitenta mil reais) por beneficiário, observada a disponibilidade orçamentária e financeira do FUMEPJUS.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47A7322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04107BB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§1º O Poder Executivo poderá atualizar o valor previsto no caput mediante decreto.</w:t>
      </w:r>
      <w:r>
        <w:rPr>
          <w:rFonts w:ascii="Calibri" w:hAnsi="Calibri" w:eastAsia="Calibri" w:cs="Calibri"/>
          <w:sz w:val="24"/>
          <w:szCs w:val="24"/>
        </w:rPr>
      </w:r>
    </w:p>
    <w:p w14:paraId="2EE1EE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31A22BE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§2º O valor financiado poderá contemplar:</w:t>
      </w:r>
      <w:r>
        <w:rPr>
          <w:rFonts w:ascii="Calibri" w:hAnsi="Calibri" w:eastAsia="Calibri" w:cs="Calibri"/>
          <w:sz w:val="24"/>
          <w:szCs w:val="24"/>
        </w:rPr>
      </w:r>
    </w:p>
    <w:p w14:paraId="2852073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tributos incidentes sobre a aquisição;</w:t>
      </w:r>
      <w:r>
        <w:rPr>
          <w:rFonts w:ascii="Calibri" w:hAnsi="Calibri" w:eastAsia="Calibri" w:cs="Calibri"/>
          <w:sz w:val="24"/>
          <w:szCs w:val="24"/>
        </w:rPr>
      </w:r>
    </w:p>
    <w:p w14:paraId="60D608F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seguros obrigatórios;</w:t>
      </w:r>
      <w:r>
        <w:rPr>
          <w:rFonts w:ascii="Calibri" w:hAnsi="Calibri" w:eastAsia="Calibri" w:cs="Calibri"/>
          <w:sz w:val="24"/>
          <w:szCs w:val="24"/>
        </w:rPr>
      </w:r>
    </w:p>
    <w:p w14:paraId="4FA22B0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taxas bancárias e administrativas;</w:t>
      </w:r>
      <w:r>
        <w:rPr>
          <w:rFonts w:ascii="Calibri" w:hAnsi="Calibri" w:eastAsia="Calibri" w:cs="Calibri"/>
          <w:sz w:val="24"/>
          <w:szCs w:val="24"/>
        </w:rPr>
      </w:r>
    </w:p>
    <w:p w14:paraId="3FC34C2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IV – custos de emplacamento e regularização.</w:t>
      </w:r>
      <w:r>
        <w:rPr>
          <w:rFonts w:ascii="Calibri" w:hAnsi="Calibri" w:eastAsia="Calibri" w:cs="Calibri"/>
          <w:sz w:val="24"/>
          <w:szCs w:val="24"/>
        </w:rPr>
      </w:r>
    </w:p>
    <w:p w14:paraId="14F730FB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41420A62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6º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prazo máximo para pagamento dos financiamentos será de até 60 (sessenta) meses, podendo ser concedida carência de até 6 (seis) meses para início do pagamento.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7A40A480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47D0C258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7º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 financiamentos terão juros reduzidos, limitados ao máximo de 2% (dois por cento) ao ano.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68DB0F0C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389B345C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8º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Como garantia do financiamento, poderá ser exigida: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2DEA302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alienação fiduciária do veículo financiado;</w:t>
      </w:r>
      <w:r>
        <w:rPr>
          <w:rFonts w:ascii="Calibri" w:hAnsi="Calibri" w:eastAsia="Calibri" w:cs="Calibri"/>
          <w:sz w:val="24"/>
          <w:szCs w:val="24"/>
        </w:rPr>
      </w:r>
    </w:p>
    <w:p w14:paraId="0F8351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garantia fidejussória;</w:t>
      </w:r>
      <w:r>
        <w:rPr>
          <w:rFonts w:ascii="Calibri" w:hAnsi="Calibri" w:eastAsia="Calibri" w:cs="Calibri"/>
          <w:sz w:val="24"/>
          <w:szCs w:val="24"/>
        </w:rPr>
      </w:r>
    </w:p>
    <w:p w14:paraId="717063A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outras garantias admitidas em regulamento.</w:t>
      </w:r>
      <w:r>
        <w:rPr>
          <w:rFonts w:ascii="Calibri" w:hAnsi="Calibri" w:cs="Calibri"/>
          <w:sz w:val="24"/>
          <w:szCs w:val="24"/>
        </w:rPr>
      </w:r>
    </w:p>
    <w:p w14:paraId="1AC19CC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7DCA016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9º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 veículos financiados deverão possuir seguro com cobertura contra colisão, roubo, furto e incêndio, durante todo o período do financiamento.</w:t>
      </w:r>
      <w:r>
        <w:rPr>
          <w:rFonts w:ascii="Calibri" w:hAnsi="Calibri" w:cs="Calibri"/>
          <w:sz w:val="24"/>
          <w:szCs w:val="24"/>
        </w:rPr>
      </w:r>
      <w:r/>
    </w:p>
    <w:p w14:paraId="5378B187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3ACEBEAF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10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Para obtenção do financiamento, o interessado deverá apresentar: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3F59622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4308EE0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comprovante da autorização municipal para exercício da atividade;</w:t>
      </w:r>
      <w:r>
        <w:rPr>
          <w:rFonts w:ascii="Calibri" w:hAnsi="Calibri" w:eastAsia="Calibri" w:cs="Calibri"/>
          <w:sz w:val="24"/>
          <w:szCs w:val="24"/>
        </w:rPr>
      </w:r>
    </w:p>
    <w:p w14:paraId="0FD4E46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certidões de regularidade fiscal municipal, estadual e federal;</w:t>
      </w:r>
      <w:r>
        <w:rPr>
          <w:rFonts w:ascii="Calibri" w:hAnsi="Calibri" w:eastAsia="Calibri" w:cs="Calibri"/>
          <w:sz w:val="24"/>
          <w:szCs w:val="24"/>
        </w:rPr>
      </w:r>
    </w:p>
    <w:p w14:paraId="60001F5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comprovante de residência no Município;</w:t>
      </w:r>
      <w:r>
        <w:rPr>
          <w:rFonts w:ascii="Calibri" w:hAnsi="Calibri" w:eastAsia="Calibri" w:cs="Calibri"/>
          <w:sz w:val="24"/>
          <w:szCs w:val="24"/>
        </w:rPr>
      </w:r>
    </w:p>
    <w:p w14:paraId="76367D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IV – orçamento ou proposta comercial do veículo;</w:t>
      </w:r>
      <w:r>
        <w:rPr>
          <w:rFonts w:ascii="Calibri" w:hAnsi="Calibri" w:eastAsia="Calibri" w:cs="Calibri"/>
          <w:sz w:val="24"/>
          <w:szCs w:val="24"/>
        </w:rPr>
      </w:r>
    </w:p>
    <w:p w14:paraId="2EFE7F7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V – documentação pessoal;</w:t>
      </w:r>
      <w:r>
        <w:rPr>
          <w:rFonts w:ascii="Calibri" w:hAnsi="Calibri" w:eastAsia="Calibri" w:cs="Calibri"/>
          <w:sz w:val="24"/>
          <w:szCs w:val="24"/>
        </w:rPr>
      </w:r>
    </w:p>
    <w:p w14:paraId="660B057D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VI – documentação do veículo, quando se tratar de troca ou substituição;</w:t>
      </w:r>
      <w:r>
        <w:rPr>
          <w:rFonts w:ascii="Calibri" w:hAnsi="Calibri" w:eastAsia="Calibri" w:cs="Calibri"/>
          <w:sz w:val="24"/>
          <w:szCs w:val="24"/>
        </w:rPr>
      </w:r>
    </w:p>
    <w:p w14:paraId="7D46986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VII – comprovação de capacidade mínima de pagamento.</w:t>
      </w:r>
      <w:r>
        <w:rPr>
          <w:rFonts w:ascii="Calibri" w:hAnsi="Calibri" w:eastAsia="Calibri" w:cs="Calibri"/>
          <w:sz w:val="24"/>
          <w:szCs w:val="24"/>
        </w:rPr>
      </w:r>
    </w:p>
    <w:p w14:paraId="6D11D502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0B430D20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11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Terão prioridade na concessão dos financiamentos: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098529B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77F9108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profissionais com idade igual ou superior a 60 (sessenta) anos;</w:t>
      </w:r>
      <w:r>
        <w:rPr>
          <w:rFonts w:ascii="Calibri" w:hAnsi="Calibri" w:eastAsia="Calibri" w:cs="Calibri"/>
          <w:sz w:val="24"/>
          <w:szCs w:val="24"/>
        </w:rPr>
      </w:r>
    </w:p>
    <w:p w14:paraId="5CAF7F2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proprietários de veículos com mais de 8 (oito) anos de fabricação;</w:t>
      </w:r>
      <w:r>
        <w:rPr>
          <w:rFonts w:ascii="Calibri" w:hAnsi="Calibri" w:eastAsia="Calibri" w:cs="Calibri"/>
          <w:sz w:val="24"/>
          <w:szCs w:val="24"/>
        </w:rPr>
      </w:r>
    </w:p>
    <w:p w14:paraId="1AA3156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profissionais que comprovem atuação exclusiva na atividade;</w:t>
      </w:r>
      <w:r>
        <w:rPr>
          <w:rFonts w:ascii="Calibri" w:hAnsi="Calibri" w:eastAsia="Calibri" w:cs="Calibri"/>
          <w:sz w:val="24"/>
          <w:szCs w:val="24"/>
        </w:rPr>
      </w:r>
    </w:p>
    <w:p w14:paraId="4AD91319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IV – beneficiários que possuam veículos adaptados para acessibilidade.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150B863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61BF31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12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 veículos financiados com recursos do FUMEPJUS poderão receber identificação visual institucional, na forma estabelecida em regulamento.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493C9A1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556E4643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13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beneficiário deverá comprovar a correta aplicação dos recursos mediante apresentação de notas fiscais, recibos e demais documentos exigidos pelo órgão gestor do FUMEPJUS.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062A3D0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4D392AA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</w: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14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inadimplemento das obrigações assumidas implicará: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/>
    </w:p>
    <w:p w14:paraId="577911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31041A1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vencimento antecipado da dívida;</w:t>
      </w:r>
      <w:r>
        <w:rPr>
          <w:rFonts w:ascii="Calibri" w:hAnsi="Calibri" w:eastAsia="Calibri" w:cs="Calibri"/>
          <w:sz w:val="24"/>
          <w:szCs w:val="24"/>
        </w:rPr>
      </w:r>
    </w:p>
    <w:p w14:paraId="19FCFB84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incidência de juros moratórios e multa contratual;</w:t>
      </w:r>
      <w:r>
        <w:rPr>
          <w:rFonts w:ascii="Calibri" w:hAnsi="Calibri" w:eastAsia="Calibri" w:cs="Calibri"/>
          <w:sz w:val="24"/>
          <w:szCs w:val="24"/>
        </w:rPr>
      </w:r>
    </w:p>
    <w:p w14:paraId="7DE789A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adoção das medidas administrativas e judiciais cabíveis.</w:t>
      </w:r>
      <w:r>
        <w:rPr>
          <w:rFonts w:ascii="Calibri" w:hAnsi="Calibri" w:eastAsia="Calibri" w:cs="Calibri"/>
          <w:sz w:val="24"/>
          <w:szCs w:val="24"/>
        </w:rPr>
      </w:r>
    </w:p>
    <w:p w14:paraId="70F1A354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632C890E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15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Os financiamentos previstos nesta Lei estarão condicionados: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7BC70FB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4134649E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 – à disponibilidade financeira do FUMEPJUS;</w:t>
      </w:r>
      <w:r>
        <w:rPr>
          <w:rFonts w:ascii="Calibri" w:hAnsi="Calibri" w:eastAsia="Calibri" w:cs="Calibri"/>
          <w:sz w:val="24"/>
          <w:szCs w:val="24"/>
        </w:rPr>
      </w:r>
    </w:p>
    <w:p w14:paraId="6D20158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 – à previsão orçamentária;</w:t>
      </w:r>
      <w:r>
        <w:rPr>
          <w:rFonts w:ascii="Calibri" w:hAnsi="Calibri" w:eastAsia="Calibri" w:cs="Calibri"/>
          <w:sz w:val="24"/>
          <w:szCs w:val="24"/>
        </w:rPr>
      </w:r>
    </w:p>
    <w:p w14:paraId="0F206B4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III – ao cumprimento das metas fiscais do Município.</w:t>
      </w:r>
      <w:r>
        <w:rPr>
          <w:rFonts w:ascii="Calibri" w:hAnsi="Calibri" w:eastAsia="Calibri" w:cs="Calibri"/>
          <w:sz w:val="24"/>
          <w:szCs w:val="24"/>
        </w:rPr>
      </w:r>
    </w:p>
    <w:p w14:paraId="250B605C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color w:val="000000"/>
          <w:sz w:val="24"/>
          <w:szCs w:val="24"/>
          <w:highlight w:val="none"/>
        </w:rPr>
      </w:r>
    </w:p>
    <w:p w14:paraId="0D2C4DDE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16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O Poder Executivo regulamentará esta Lei no prazo de até 90 (noventa) dias contados da sua publicação.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4F8EE122">
      <w:pPr>
        <w:pBdr/>
        <w:spacing/>
        <w:ind/>
        <w:rPr/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  <w:r/>
    </w:p>
    <w:p w14:paraId="70DEE6F9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17 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As despesas decorrentes da execução desta Lei correrão por conta das dotações orçamentárias próprias, suplementadas se necessário.</w:t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4658614F">
      <w:pPr>
        <w:pBdr/>
        <w:spacing/>
        <w:ind/>
        <w:rPr/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/>
    </w:p>
    <w:p w14:paraId="050D41A7">
      <w:pPr>
        <w:pStyle w:val="896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b w:val="0"/>
          <w:bCs w:val="0"/>
          <w:sz w:val="24"/>
          <w:szCs w:val="24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Art. 18 </w:t>
      </w: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  <w:t xml:space="preserve">O Poder Executivo fica desde já autorizado a abrir linhas especiais de créditos para outras categorias regulamentadas no município.</w:t>
      </w:r>
      <w:r>
        <w:rPr>
          <w:rFonts w:ascii="Calibri" w:hAnsi="Calibri" w:cs="Calibri"/>
          <w:b w:val="0"/>
          <w:bCs w:val="0"/>
          <w:sz w:val="24"/>
          <w:szCs w:val="24"/>
        </w:rPr>
      </w:r>
    </w:p>
    <w:p w14:paraId="4A2720A7">
      <w:pPr>
        <w:pBdr/>
        <w:spacing/>
        <w:ind/>
        <w:rPr/>
      </w:pPr>
      <w:r>
        <w:rPr>
          <w:rFonts w:ascii="Calibri" w:hAnsi="Calibri" w:eastAsia="Calibri" w:cs="Calibri"/>
          <w:b w:val="0"/>
          <w:bCs w:val="0"/>
          <w:color w:val="000000"/>
          <w:sz w:val="24"/>
          <w:szCs w:val="24"/>
        </w:rPr>
      </w:r>
      <w:r>
        <w:rPr>
          <w:rFonts w:ascii="Calibri" w:hAnsi="Calibri" w:cs="Calibri"/>
          <w:b w:val="0"/>
          <w:bCs w:val="0"/>
          <w:sz w:val="24"/>
          <w:szCs w:val="24"/>
        </w:rPr>
      </w:r>
      <w:r/>
    </w:p>
    <w:p w14:paraId="76DBCBA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b/>
          <w:bCs/>
          <w:color w:val="000000"/>
          <w:sz w:val="24"/>
          <w:szCs w:val="24"/>
        </w:rPr>
        <w:t xml:space="preserve">Art. 19 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Esta Lei entra em vigor na data de sua publicação.</w:t>
      </w:r>
      <w:r>
        <w:rPr>
          <w:rFonts w:ascii="Calibri" w:hAnsi="Calibri" w:eastAsia="Calibri" w:cs="Calibri"/>
          <w:sz w:val="24"/>
          <w:szCs w:val="24"/>
        </w:rPr>
      </w:r>
    </w:p>
    <w:p w14:paraId="1AE1E4BD">
      <w:pPr>
        <w:pStyle w:val="89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  <w:r>
        <w:rPr>
          <w:rFonts w:ascii="Calibri" w:hAnsi="Calibri" w:cs="Calibri"/>
          <w:sz w:val="24"/>
          <w:szCs w:val="24"/>
        </w:rPr>
      </w:r>
    </w:p>
    <w:p w14:paraId="21522BA5">
      <w:pPr>
        <w:pStyle w:val="895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center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color w:val="000000"/>
          <w:sz w:val="24"/>
          <w:szCs w:val="24"/>
        </w:rPr>
        <w:t xml:space="preserve">JUSTIFICATIVA</w:t>
      </w:r>
      <w:r>
        <w:rPr>
          <w:rFonts w:ascii="Calibri" w:hAnsi="Calibri" w:eastAsia="Calibri" w:cs="Calibri"/>
          <w:sz w:val="24"/>
          <w:szCs w:val="24"/>
        </w:rPr>
      </w:r>
    </w:p>
    <w:p w14:paraId="02D2D261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63F3F36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O presente Projeto de Lei visa instituir, no Município de Macaé, linhas especiais de financiamento voltadas aos taxistas e proprietários de veículos destinados ao transporte escolar, utilizando recursos do Fundo Municipal de Economia Popular, Justa e Solid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ária – FUMEPJUS.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699A202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63E48E42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 proposta busca fomentar a mobilidade urbana, promover segurança aos usuários, incentivar a renovação da frota municipal e fortalecer categorias profissionais essenciais para o funcionamento da cidade.</w:t>
      </w:r>
      <w:r>
        <w:rPr>
          <w:rFonts w:ascii="Calibri" w:hAnsi="Calibri" w:cs="Calibri"/>
          <w:sz w:val="24"/>
          <w:szCs w:val="24"/>
        </w:rPr>
      </w:r>
    </w:p>
    <w:p w14:paraId="4C9D914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6D43ADDA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Os taxistas e transportadores escolares exercem atividades de relevante interesse público, garantindo transporte seguro, acessível e contínuo à população. Contudo, muitos profissionais enfrentam dificuldades financeiras para renovação dos veículos e adequa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ção às exigências legais e de segurança.</w:t>
      </w:r>
      <w:r>
        <w:rPr>
          <w:rFonts w:ascii="Calibri" w:hAnsi="Calibri" w:cs="Calibri"/>
          <w:sz w:val="24"/>
          <w:szCs w:val="24"/>
        </w:rPr>
      </w:r>
    </w:p>
    <w:p w14:paraId="58F7BFFB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2537425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Inspirado na experiência legislativa do Município de Campos dos Goytacazes, especialmente na Lei Municipal nº 9.577/2024, o presente projeto adapta a política pública à realidade de Macaé, utilizando a estrutura do FUMEPJUS como instrumento de desenvolvime</w:t>
      </w:r>
      <w:r>
        <w:rPr>
          <w:rFonts w:ascii="Calibri" w:hAnsi="Calibri" w:eastAsia="Calibri" w:cs="Calibri"/>
          <w:color w:val="000000"/>
          <w:sz w:val="24"/>
          <w:szCs w:val="24"/>
        </w:rPr>
        <w:t xml:space="preserve">nto econômico local e fortalecimento da economia popular e solidária.</w:t>
      </w:r>
      <w:r>
        <w:rPr>
          <w:rFonts w:ascii="Calibri" w:hAnsi="Calibri" w:eastAsia="Calibri" w:cs="Calibri"/>
          <w:sz w:val="24"/>
          <w:szCs w:val="24"/>
        </w:rPr>
      </w:r>
    </w:p>
    <w:p w14:paraId="06F93C25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5452BA3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Além da melhoria da qualidade dos serviços prestados à população, a medida impulsiona a economia local, estimula o comércio automotivo, promove geração de renda e contribui para a modernização do sistema municipal de transporte individual e escolar.</w:t>
      </w:r>
      <w:r>
        <w:rPr>
          <w:rFonts w:ascii="Calibri" w:hAnsi="Calibri" w:eastAsia="Calibri" w:cs="Calibri"/>
          <w:sz w:val="24"/>
          <w:szCs w:val="24"/>
        </w:rPr>
      </w:r>
    </w:p>
    <w:p w14:paraId="2DFC39E7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2527B2A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Diante do relevante interesse público da matéria, espera-se a aprovação do presente Projeto de Lei.</w:t>
      </w:r>
      <w:r>
        <w:rPr>
          <w:rFonts w:ascii="Calibri" w:hAnsi="Calibri" w:eastAsia="Calibri" w:cs="Calibri"/>
          <w:sz w:val="24"/>
          <w:szCs w:val="24"/>
        </w:rPr>
      </w:r>
    </w:p>
    <w:p w14:paraId="24B1401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1134" w:left="0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5A364D56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center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Sala das Sessões, 20 de maio de 2026.</w:t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0E417EBF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center"/>
        <w:rPr>
          <w:rFonts w:ascii="Calibri" w:hAnsi="Calibri" w:eastAsia="Calibri" w:cs="Calibri"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color w:val="000000"/>
          <w:sz w:val="24"/>
          <w:szCs w:val="24"/>
          <w:highlight w:val="none"/>
        </w:rPr>
      </w:r>
    </w:p>
    <w:p w14:paraId="7513CDF8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center"/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pP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  <w:t xml:space="preserve">LEONES ALMEIDA</w:t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  <w:r>
        <w:rPr>
          <w:rFonts w:ascii="Calibri" w:hAnsi="Calibri" w:eastAsia="Calibri" w:cs="Calibri"/>
          <w:b/>
          <w:bCs/>
          <w:color w:val="000000"/>
          <w:sz w:val="24"/>
          <w:szCs w:val="24"/>
          <w:highlight w:val="none"/>
        </w:rPr>
      </w:r>
    </w:p>
    <w:p w14:paraId="096A16EC"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 w:after="0" w:afterAutospacing="0" w:before="0" w:beforeAutospacing="0" w:line="360" w:lineRule="auto"/>
        <w:ind w:right="0" w:firstLine="0" w:left="0"/>
        <w:jc w:val="center"/>
        <w:rPr>
          <w:rFonts w:ascii="Calibri" w:hAnsi="Calibri" w:cs="Calibri"/>
          <w:b/>
          <w:bCs/>
          <w:szCs w:val="24"/>
        </w:rPr>
      </w:pPr>
      <w:r>
        <w:rPr>
          <w:rFonts w:ascii="Calibri" w:hAnsi="Calibri" w:eastAsia="Calibri" w:cs="Calibri"/>
          <w:b/>
          <w:bCs/>
          <w:color w:val="000000"/>
          <w:sz w:val="24"/>
          <w:szCs w:val="24"/>
        </w:rPr>
        <w:t xml:space="preserve">Vereador Autor</w:t>
      </w:r>
      <w:r>
        <w:rPr>
          <w:rFonts w:ascii="Calibri" w:hAnsi="Calibri" w:eastAsia="Calibri" w:cs="Calibri"/>
          <w:b/>
          <w:bCs/>
          <w:sz w:val="24"/>
          <w:szCs w:val="24"/>
        </w:rPr>
      </w:r>
    </w:p>
    <w:p w14:paraId="0B7B3460">
      <w:pPr>
        <w:pBdr/>
        <w:spacing w:after="0" w:afterAutospacing="0" w:before="0" w:beforeAutospacing="0" w:line="360" w:lineRule="auto"/>
        <w:ind w:right="0" w:firstLine="0" w:left="3402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  <w:r>
        <w:rPr>
          <w:rFonts w:ascii="Calibri" w:hAnsi="Calibri" w:eastAsia="Calibri" w:cs="Calibri"/>
          <w:sz w:val="24"/>
          <w:szCs w:val="24"/>
        </w:rPr>
      </w:r>
    </w:p>
    <w:sectPr>
      <w:headerReference w:type="default" r:id="rId8"/>
      <w:footerReference w:type="default" r:id="rId9"/>
      <w:footnotePr/>
      <w:endnotePr/>
      <w:type w:val="nextPage"/>
      <w:pgSz w:h="16838" w:orient="portrait" w:w="11906"/>
      <w:pgMar w:top="1417" w:right="1701" w:bottom="1417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Verdan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7305D3A7">
    <w:pPr>
      <w:pStyle w:val="959"/>
      <w:pBdr/>
      <w:spacing/>
      <w:ind/>
      <w:jc w:val="center"/>
      <w:rPr/>
    </w:pPr>
    <w:r>
      <w:rPr>
        <w:rStyle w:val="960"/>
        <w:rFonts w:ascii="Verdana" w:hAnsi="Verdana"/>
        <w:sz w:val="16"/>
        <w:szCs w:val="16"/>
      </w:rPr>
      <w:t xml:space="preserve">Palácio do Legislativo Natálio Salvador Antunes</w:t>
    </w:r>
    <w:r/>
  </w:p>
  <w:p w14:paraId="5099D80B">
    <w:pPr>
      <w:pStyle w:val="959"/>
      <w:pBdr/>
      <w:spacing/>
      <w:ind/>
      <w:jc w:val="center"/>
      <w:rPr/>
    </w:pPr>
    <w:r>
      <w:rPr>
        <w:rStyle w:val="961"/>
        <w:rFonts w:ascii="Verdana" w:hAnsi="Verdana"/>
        <w:color w:val="202124"/>
        <w:sz w:val="16"/>
        <w:szCs w:val="16"/>
      </w:rPr>
      <w:t xml:space="preserve">Avenida Antônio Abreu, 1805. Fazenda Blanchete - Horto - Macaé - RJ. 27.947-570</w:t>
    </w:r>
    <w:r>
      <w:rPr>
        <w:rFonts w:ascii="Verdana" w:hAnsi="Verdana"/>
        <w:sz w:val="16"/>
        <w:szCs w:val="16"/>
      </w:rPr>
    </w:r>
    <w:r/>
  </w:p>
  <w:p w14:paraId="358DC89A">
    <w:pPr>
      <w:pStyle w:val="931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 w14:paraId="0D1B80EB">
    <w:pPr>
      <w:pStyle w:val="959"/>
      <w:pBdr/>
      <w:tabs>
        <w:tab w:val="left" w:leader="none" w:pos="2160"/>
        <w:tab w:val="center" w:leader="none" w:pos="3519"/>
      </w:tabs>
      <w:spacing/>
      <w:ind/>
      <w:jc w:val="center"/>
      <w:rPr/>
    </w:pPr>
    <w:r>
      <w:rPr>
        <w:rStyle w:val="960"/>
        <w:rFonts w:ascii="Verdana" w:hAnsi="Verdana"/>
        <w:sz w:val="16"/>
        <w:szCs w:val="16"/>
      </w:rPr>
      <mc:AlternateContent>
        <mc:Choice Requires="wpg">
          <w:drawing>
            <wp:inline xmlns:wp="http://schemas.openxmlformats.org/drawingml/2006/wordprocessingDrawing" distT="0" distB="0" distL="0" distR="0">
              <wp:extent cx="589915" cy="538480"/>
              <wp:effectExtent l="0" t="0" r="479" b="0"/>
              <wp:docPr id="1" name="Imagem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7799807" name="Imagem 1"/>
                      <pic:cNvPicPr/>
                      <pic:nvPr/>
                    </pic:nvPicPr>
                    <pic:blipFill rotWithShape="1">
                      <a:blip r:embed="rId1"/>
                      <a:stretch/>
                    </pic:blipFill>
                    <pic:spPr bwMode="auto">
                      <a:xfrm>
                        <a:off x="0" y="0"/>
                        <a:ext cx="590070" cy="538882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 val="solid"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46.45pt;height:42.4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 w14:paraId="5084BFFC">
    <w:pPr>
      <w:pStyle w:val="95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ESTADO DO RIO DE JANEIRO</w:t>
    </w:r>
    <w:r>
      <w:rPr>
        <w:rFonts w:ascii="Verdana" w:hAnsi="Verdana"/>
        <w:b/>
      </w:rPr>
    </w:r>
    <w:r>
      <w:rPr>
        <w:rFonts w:ascii="Verdana" w:hAnsi="Verdana"/>
        <w:b/>
      </w:rPr>
    </w:r>
  </w:p>
  <w:p w14:paraId="31F8168E">
    <w:pPr>
      <w:pStyle w:val="959"/>
      <w:pBdr/>
      <w:spacing/>
      <w:ind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CÂMARA MUNICIPAL DE MACAÉ</w:t>
    </w:r>
    <w:r>
      <w:rPr>
        <w:rFonts w:ascii="Verdana" w:hAnsi="Verdana"/>
        <w:b/>
      </w:rPr>
    </w:r>
    <w:r>
      <w:rPr>
        <w:rFonts w:ascii="Verdana" w:hAnsi="Verdana"/>
        <w:b/>
      </w:rPr>
    </w:r>
  </w:p>
  <w:p w14:paraId="2DEA7399">
    <w:pPr>
      <w:pStyle w:val="95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Macaé Capital da Energia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 w14:paraId="0D601D22">
    <w:pPr>
      <w:pStyle w:val="959"/>
      <w:pBdr/>
      <w:spacing/>
      <w:ind/>
      <w:jc w:val="center"/>
      <w:rPr>
        <w:rFonts w:ascii="Verdana" w:hAnsi="Verdana"/>
        <w:b/>
        <w:sz w:val="16"/>
        <w:szCs w:val="16"/>
      </w:rPr>
    </w:pPr>
    <w:r>
      <w:rPr>
        <w:rFonts w:ascii="Verdana" w:hAnsi="Verdana"/>
        <w:b/>
        <w:sz w:val="16"/>
        <w:szCs w:val="16"/>
      </w:rPr>
      <w:t xml:space="preserve">Lei Estadual nº 6081 de 21.11.2011</w:t>
    </w:r>
    <w:r>
      <w:rPr>
        <w:rFonts w:ascii="Verdana" w:hAnsi="Verdana"/>
        <w:b/>
        <w:sz w:val="16"/>
        <w:szCs w:val="16"/>
      </w:rPr>
    </w:r>
    <w:r>
      <w:rPr>
        <w:rFonts w:ascii="Verdana" w:hAnsi="Verdana"/>
        <w:b/>
        <w:sz w:val="16"/>
        <w:szCs w:val="16"/>
      </w:rPr>
    </w:r>
  </w:p>
  <w:p w14:paraId="20211BBE">
    <w:pPr>
      <w:pStyle w:val="92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pBdr/>
        <w:spacing w:after="200" w:afterAutospacing="0" w:before="0" w:beforeAutospacing="0" w:line="276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69">
    <w:name w:val="Table Grid"/>
    <w:basedOn w:val="95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Table Grid Light"/>
    <w:basedOn w:val="95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Plain Table 1"/>
    <w:basedOn w:val="95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Plain Table 2"/>
    <w:basedOn w:val="955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Plain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Plain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Plain Table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4 - Accent 1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febf7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4 - Accent 2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4 - Accent 3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4 - Accent 4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4 - Accent 5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4 - Accent 6"/>
    <w:basedOn w:val="955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5 Dark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eeb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b4d1ec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5 Dark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07ab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16161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eebf6" w:themeFill="accent1" w:themeFillTint="34"/>
        <w:tcBorders/>
      </w:tcPr>
    </w:tblStylePr>
    <w:tblStylePr w:type="band2Horz">
      <w:rPr>
        <w:rFonts w:ascii="Arial" w:hAnsi="Arial"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07ab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6161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Horz">
      <w:rPr>
        <w:rFonts w:ascii="Arial" w:hAnsi="Arial"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2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1 Light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1 Light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1 Light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1 Light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1 Light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1 Light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1 Light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2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2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2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2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2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2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3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3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3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3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3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3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4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4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4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4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4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4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5 Dark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5 Dark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5 Dark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5 Dark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5 Dark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5 Dark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a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8eaa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5 Dark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6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6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6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b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6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67676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6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6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5aa1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6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7 Colorful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7 Colorful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6e6f4" w:themeFill="accent1" w:themeFillTint="40"/>
        <w:tcBorders/>
      </w:tcPr>
    </w:tblStylePr>
    <w:tblStylePr w:type="band2Horz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45b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7 Colorful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b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7 Colorful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67676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7 Colorful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7 Colorful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0dcf0" w:themeFill="accent5" w:themeFillTint="40"/>
        <w:tcBorders/>
      </w:tcPr>
    </w:tblStylePr>
    <w:tblStylePr w:type="band2Horz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5aa1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7 Colorful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Bordered &amp; Lined - Accent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Bordered &amp; Lined - Accent 1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ce0f2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69a3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Bordered &amp; Lined - Accent 2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Bordered &amp; Lined - Accent 3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Bordered &amp; Lined - Accent 4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Bordered &amp; Lined - Accent 5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9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Bordered &amp; Lined - Accent 6"/>
    <w:basedOn w:val="9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Bordered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Bordered - Accent 1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Bordered - Accent 2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Bordered - Accent 3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Bordered - Accent 4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Bordered - Accent 5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Bordered - Accent 6"/>
    <w:basedOn w:val="955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95">
    <w:name w:val="Heading 1"/>
    <w:basedOn w:val="954"/>
    <w:next w:val="954"/>
    <w:link w:val="90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96">
    <w:name w:val="Heading 2"/>
    <w:basedOn w:val="954"/>
    <w:next w:val="954"/>
    <w:link w:val="90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97">
    <w:name w:val="Heading 3"/>
    <w:basedOn w:val="954"/>
    <w:next w:val="954"/>
    <w:link w:val="90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98">
    <w:name w:val="Heading 4"/>
    <w:basedOn w:val="954"/>
    <w:next w:val="954"/>
    <w:link w:val="90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99">
    <w:name w:val="Heading 5"/>
    <w:basedOn w:val="954"/>
    <w:next w:val="954"/>
    <w:link w:val="90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900">
    <w:name w:val="Heading 6"/>
    <w:basedOn w:val="954"/>
    <w:next w:val="954"/>
    <w:link w:val="91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901">
    <w:name w:val="Heading 7"/>
    <w:basedOn w:val="954"/>
    <w:next w:val="954"/>
    <w:link w:val="91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902">
    <w:name w:val="Heading 8"/>
    <w:basedOn w:val="954"/>
    <w:next w:val="954"/>
    <w:link w:val="91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903">
    <w:name w:val="Heading 9"/>
    <w:basedOn w:val="954"/>
    <w:next w:val="954"/>
    <w:link w:val="91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904" w:default="1">
    <w:name w:val="Default Paragraph Font"/>
    <w:uiPriority w:val="1"/>
    <w:semiHidden/>
    <w:unhideWhenUsed/>
    <w:pPr>
      <w:pBdr/>
      <w:spacing/>
      <w:ind/>
    </w:pPr>
  </w:style>
  <w:style w:type="character" w:styleId="905">
    <w:name w:val="Heading 1 Char"/>
    <w:basedOn w:val="904"/>
    <w:link w:val="89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906">
    <w:name w:val="Heading 2 Char"/>
    <w:basedOn w:val="904"/>
    <w:link w:val="89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907">
    <w:name w:val="Heading 3 Char"/>
    <w:basedOn w:val="904"/>
    <w:link w:val="89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908">
    <w:name w:val="Heading 4 Char"/>
    <w:basedOn w:val="904"/>
    <w:link w:val="89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909">
    <w:name w:val="Heading 5 Char"/>
    <w:basedOn w:val="904"/>
    <w:link w:val="8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910">
    <w:name w:val="Heading 6 Char"/>
    <w:basedOn w:val="904"/>
    <w:link w:val="90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1">
    <w:name w:val="Heading 7 Char"/>
    <w:basedOn w:val="904"/>
    <w:link w:val="90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2">
    <w:name w:val="Heading 8 Char"/>
    <w:basedOn w:val="904"/>
    <w:link w:val="90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3">
    <w:name w:val="Heading 9 Char"/>
    <w:basedOn w:val="904"/>
    <w:link w:val="90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4">
    <w:name w:val="Title"/>
    <w:basedOn w:val="954"/>
    <w:next w:val="954"/>
    <w:link w:val="91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5">
    <w:name w:val="Title Char"/>
    <w:basedOn w:val="904"/>
    <w:link w:val="91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16">
    <w:name w:val="Subtitle"/>
    <w:basedOn w:val="954"/>
    <w:next w:val="954"/>
    <w:link w:val="91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17">
    <w:name w:val="Subtitle Char"/>
    <w:basedOn w:val="904"/>
    <w:link w:val="91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18">
    <w:name w:val="Quote"/>
    <w:basedOn w:val="954"/>
    <w:next w:val="954"/>
    <w:link w:val="91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19">
    <w:name w:val="Quote Char"/>
    <w:basedOn w:val="904"/>
    <w:link w:val="918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920">
    <w:name w:val="Intense Emphasis"/>
    <w:basedOn w:val="904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921">
    <w:name w:val="Intense Quote"/>
    <w:basedOn w:val="954"/>
    <w:next w:val="954"/>
    <w:link w:val="922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922">
    <w:name w:val="Intense Quote Char"/>
    <w:basedOn w:val="904"/>
    <w:link w:val="921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923">
    <w:name w:val="Intense Reference"/>
    <w:basedOn w:val="904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924">
    <w:name w:val="Subtle Emphasis"/>
    <w:basedOn w:val="90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25">
    <w:name w:val="Emphasis"/>
    <w:basedOn w:val="904"/>
    <w:uiPriority w:val="20"/>
    <w:qFormat/>
    <w:pPr>
      <w:pBdr/>
      <w:spacing/>
      <w:ind/>
    </w:pPr>
    <w:rPr>
      <w:i/>
      <w:iCs/>
    </w:rPr>
  </w:style>
  <w:style w:type="character" w:styleId="926">
    <w:name w:val="Strong"/>
    <w:basedOn w:val="904"/>
    <w:uiPriority w:val="22"/>
    <w:qFormat/>
    <w:pPr>
      <w:pBdr/>
      <w:spacing/>
      <w:ind/>
    </w:pPr>
    <w:rPr>
      <w:b/>
      <w:bCs/>
    </w:rPr>
  </w:style>
  <w:style w:type="character" w:styleId="927">
    <w:name w:val="Subtle Reference"/>
    <w:basedOn w:val="90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28">
    <w:name w:val="Book Title"/>
    <w:basedOn w:val="90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29">
    <w:name w:val="Header"/>
    <w:basedOn w:val="954"/>
    <w:link w:val="930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0">
    <w:name w:val="Header Char"/>
    <w:basedOn w:val="904"/>
    <w:link w:val="929"/>
    <w:uiPriority w:val="99"/>
    <w:pPr>
      <w:pBdr/>
      <w:spacing/>
      <w:ind/>
    </w:pPr>
  </w:style>
  <w:style w:type="paragraph" w:styleId="931">
    <w:name w:val="Footer"/>
    <w:basedOn w:val="954"/>
    <w:link w:val="932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932">
    <w:name w:val="Footer Char"/>
    <w:basedOn w:val="904"/>
    <w:link w:val="931"/>
    <w:uiPriority w:val="99"/>
    <w:pPr>
      <w:pBdr/>
      <w:spacing/>
      <w:ind/>
    </w:pPr>
  </w:style>
  <w:style w:type="paragraph" w:styleId="933">
    <w:name w:val="Caption"/>
    <w:basedOn w:val="954"/>
    <w:next w:val="954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934">
    <w:name w:val="footnote text"/>
    <w:basedOn w:val="954"/>
    <w:link w:val="93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5">
    <w:name w:val="Footnote Text Char"/>
    <w:basedOn w:val="904"/>
    <w:link w:val="934"/>
    <w:uiPriority w:val="99"/>
    <w:semiHidden/>
    <w:pPr>
      <w:pBdr/>
      <w:spacing/>
      <w:ind/>
    </w:pPr>
    <w:rPr>
      <w:sz w:val="20"/>
      <w:szCs w:val="20"/>
    </w:rPr>
  </w:style>
  <w:style w:type="character" w:styleId="936">
    <w:name w:val="footnote reference"/>
    <w:basedOn w:val="904"/>
    <w:uiPriority w:val="99"/>
    <w:semiHidden/>
    <w:unhideWhenUsed/>
    <w:pPr>
      <w:pBdr/>
      <w:spacing/>
      <w:ind/>
    </w:pPr>
    <w:rPr>
      <w:vertAlign w:val="superscript"/>
    </w:rPr>
  </w:style>
  <w:style w:type="paragraph" w:styleId="937">
    <w:name w:val="endnote text"/>
    <w:basedOn w:val="954"/>
    <w:link w:val="938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8">
    <w:name w:val="Endnote Text Char"/>
    <w:basedOn w:val="904"/>
    <w:link w:val="937"/>
    <w:uiPriority w:val="99"/>
    <w:semiHidden/>
    <w:pPr>
      <w:pBdr/>
      <w:spacing/>
      <w:ind/>
    </w:pPr>
    <w:rPr>
      <w:sz w:val="20"/>
      <w:szCs w:val="20"/>
    </w:rPr>
  </w:style>
  <w:style w:type="character" w:styleId="939">
    <w:name w:val="endnote reference"/>
    <w:basedOn w:val="904"/>
    <w:uiPriority w:val="99"/>
    <w:semiHidden/>
    <w:unhideWhenUsed/>
    <w:pPr>
      <w:pBdr/>
      <w:spacing/>
      <w:ind/>
    </w:pPr>
    <w:rPr>
      <w:vertAlign w:val="superscript"/>
    </w:rPr>
  </w:style>
  <w:style w:type="character" w:styleId="940">
    <w:name w:val="Hyperlink"/>
    <w:basedOn w:val="904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41">
    <w:name w:val="FollowedHyperlink"/>
    <w:basedOn w:val="904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2">
    <w:name w:val="toc 1"/>
    <w:basedOn w:val="954"/>
    <w:next w:val="954"/>
    <w:uiPriority w:val="39"/>
    <w:unhideWhenUsed/>
    <w:pPr>
      <w:pBdr/>
      <w:spacing w:after="100"/>
      <w:ind/>
    </w:pPr>
  </w:style>
  <w:style w:type="paragraph" w:styleId="943">
    <w:name w:val="toc 2"/>
    <w:basedOn w:val="954"/>
    <w:next w:val="954"/>
    <w:uiPriority w:val="39"/>
    <w:unhideWhenUsed/>
    <w:pPr>
      <w:pBdr/>
      <w:spacing w:after="100"/>
      <w:ind w:left="220"/>
    </w:pPr>
  </w:style>
  <w:style w:type="paragraph" w:styleId="944">
    <w:name w:val="toc 3"/>
    <w:basedOn w:val="954"/>
    <w:next w:val="954"/>
    <w:uiPriority w:val="39"/>
    <w:unhideWhenUsed/>
    <w:pPr>
      <w:pBdr/>
      <w:spacing w:after="100"/>
      <w:ind w:left="440"/>
    </w:pPr>
  </w:style>
  <w:style w:type="paragraph" w:styleId="945">
    <w:name w:val="toc 4"/>
    <w:basedOn w:val="954"/>
    <w:next w:val="954"/>
    <w:uiPriority w:val="39"/>
    <w:unhideWhenUsed/>
    <w:pPr>
      <w:pBdr/>
      <w:spacing w:after="100"/>
      <w:ind w:left="660"/>
    </w:pPr>
  </w:style>
  <w:style w:type="paragraph" w:styleId="946">
    <w:name w:val="toc 5"/>
    <w:basedOn w:val="954"/>
    <w:next w:val="954"/>
    <w:uiPriority w:val="39"/>
    <w:unhideWhenUsed/>
    <w:pPr>
      <w:pBdr/>
      <w:spacing w:after="100"/>
      <w:ind w:left="880"/>
    </w:pPr>
  </w:style>
  <w:style w:type="paragraph" w:styleId="947">
    <w:name w:val="toc 6"/>
    <w:basedOn w:val="954"/>
    <w:next w:val="954"/>
    <w:uiPriority w:val="39"/>
    <w:unhideWhenUsed/>
    <w:pPr>
      <w:pBdr/>
      <w:spacing w:after="100"/>
      <w:ind w:left="1100"/>
    </w:pPr>
  </w:style>
  <w:style w:type="paragraph" w:styleId="948">
    <w:name w:val="toc 7"/>
    <w:basedOn w:val="954"/>
    <w:next w:val="954"/>
    <w:uiPriority w:val="39"/>
    <w:unhideWhenUsed/>
    <w:pPr>
      <w:pBdr/>
      <w:spacing w:after="100"/>
      <w:ind w:left="1320"/>
    </w:pPr>
  </w:style>
  <w:style w:type="paragraph" w:styleId="949">
    <w:name w:val="toc 8"/>
    <w:basedOn w:val="954"/>
    <w:next w:val="954"/>
    <w:uiPriority w:val="39"/>
    <w:unhideWhenUsed/>
    <w:pPr>
      <w:pBdr/>
      <w:spacing w:after="100"/>
      <w:ind w:left="1540"/>
    </w:pPr>
  </w:style>
  <w:style w:type="paragraph" w:styleId="950">
    <w:name w:val="toc 9"/>
    <w:basedOn w:val="954"/>
    <w:next w:val="954"/>
    <w:uiPriority w:val="39"/>
    <w:unhideWhenUsed/>
    <w:pPr>
      <w:pBdr/>
      <w:spacing w:after="100"/>
      <w:ind w:left="1760"/>
    </w:pPr>
  </w:style>
  <w:style w:type="character" w:styleId="951">
    <w:name w:val="Placeholder Text"/>
    <w:basedOn w:val="904"/>
    <w:uiPriority w:val="99"/>
    <w:semiHidden/>
    <w:pPr>
      <w:pBdr/>
      <w:spacing/>
      <w:ind/>
    </w:pPr>
    <w:rPr>
      <w:color w:val="666666"/>
    </w:rPr>
  </w:style>
  <w:style w:type="paragraph" w:styleId="952">
    <w:name w:val="TOC Heading"/>
    <w:uiPriority w:val="39"/>
    <w:unhideWhenUsed/>
    <w:pPr>
      <w:pBdr/>
      <w:spacing/>
      <w:ind/>
    </w:pPr>
  </w:style>
  <w:style w:type="paragraph" w:styleId="953">
    <w:name w:val="table of figures"/>
    <w:basedOn w:val="954"/>
    <w:next w:val="954"/>
    <w:uiPriority w:val="99"/>
    <w:unhideWhenUsed/>
    <w:pPr>
      <w:pBdr/>
      <w:spacing w:after="0" w:afterAutospacing="0"/>
      <w:ind/>
    </w:pPr>
  </w:style>
  <w:style w:type="paragraph" w:styleId="954" w:default="1">
    <w:name w:val="Normal"/>
    <w:qFormat/>
    <w:pPr>
      <w:pBdr/>
      <w:spacing/>
      <w:ind/>
    </w:pPr>
  </w:style>
  <w:style w:type="table" w:styleId="9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56" w:default="1">
    <w:name w:val="No List"/>
    <w:uiPriority w:val="99"/>
    <w:semiHidden/>
    <w:unhideWhenUsed/>
    <w:pPr>
      <w:pBdr/>
      <w:spacing/>
      <w:ind/>
    </w:pPr>
  </w:style>
  <w:style w:type="paragraph" w:styleId="957">
    <w:name w:val="No Spacing"/>
    <w:basedOn w:val="954"/>
    <w:uiPriority w:val="1"/>
    <w:qFormat/>
    <w:pPr>
      <w:pBdr/>
      <w:spacing w:after="0" w:line="240" w:lineRule="auto"/>
      <w:ind/>
    </w:pPr>
  </w:style>
  <w:style w:type="paragraph" w:styleId="958">
    <w:name w:val="List Paragraph"/>
    <w:basedOn w:val="954"/>
    <w:uiPriority w:val="34"/>
    <w:qFormat/>
    <w:pPr>
      <w:pBdr/>
      <w:spacing/>
      <w:ind w:left="720"/>
      <w:contextualSpacing w:val="true"/>
    </w:pPr>
  </w:style>
  <w:style w:type="paragraph" w:styleId="959" w:customStyle="1">
    <w:name w:val="Cabeçalho;Cabeçalho superior;Heading 1a"/>
    <w:pPr>
      <w:keepNext w:val="false"/>
      <w:keepLines w:val="false"/>
      <w:pageBreakBefore w:val="false"/>
      <w:widowControl w:val="true"/>
      <w:suppressLineNumbers w:val="false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tabs>
        <w:tab w:val="center" w:leader="none" w:pos="4419"/>
        <w:tab w:val="right" w:leader="none" w:pos="8838"/>
      </w:tabs>
      <w:bidi w:val="false"/>
      <w:spacing w:after="0" w:afterAutospacing="0" w:before="0" w:beforeAutospacing="0" w:line="240" w:lineRule="auto"/>
      <w:ind w:right="0" w:firstLine="0" w:left="0"/>
      <w:contextualSpacing w:val="false"/>
      <w:jc w:val="left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pt-BR" w:eastAsia="pt-BR" w:bidi="ar-SA"/>
      <w14:ligatures w14:val="none"/>
    </w:rPr>
  </w:style>
  <w:style w:type="character" w:styleId="960" w:customStyle="1">
    <w:name w:val="Tipo de letra predefinido do parágrafo1"/>
    <w:pPr>
      <w:pBdr/>
      <w:spacing/>
      <w:ind/>
    </w:pPr>
  </w:style>
  <w:style w:type="character" w:styleId="961" w:customStyle="1">
    <w:name w:val="lrzxr"/>
    <w:pPr>
      <w:pBdr/>
      <w:spacing/>
      <w:ind/>
    </w:pPr>
  </w:style>
  <w:style w:type="character" w:styleId="962" w:customStyle="1">
    <w:name w:val="Hiperligação1"/>
    <w:pPr>
      <w:pBdr/>
      <w:spacing/>
      <w:ind/>
    </w:pPr>
    <w:rPr>
      <w:color w:val="0563c1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ONLYOFFICE/9.2.1.43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3</cp:revision>
  <dcterms:modified xsi:type="dcterms:W3CDTF">2026-05-20T20:06:45Z</dcterms:modified>
</cp:coreProperties>
</file>