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282C6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</w:t>
      </w:r>
      <w:r w:rsidR="00624B0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24B06" w:rsidRPr="00624B06">
        <w:rPr>
          <w:rFonts w:asciiTheme="minorHAnsi" w:eastAsia="Times New Roman" w:hAnsiTheme="minorHAnsi" w:cstheme="minorHAnsi"/>
          <w:sz w:val="24"/>
          <w:szCs w:val="24"/>
          <w:lang w:eastAsia="pt-BR"/>
        </w:rPr>
        <w:t>à Mesa Diretora que seja solicitada a abertura de concurso público para provimento de cargos efetivos no quadro de servidores desta Câmara Municipal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624B06" w:rsidP="007C6AF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24B0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justifica pela necessidade de recomposição do quadro de pessoal, garantindo maior eficiência, transparência e continuidade dos serviços públicos prestados à população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24B06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0A72188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022DD7-4CE7-45E4-827A-FD802F08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109</cp:revision>
  <cp:lastPrinted>2023-06-23T16:25:00Z</cp:lastPrinted>
  <dcterms:created xsi:type="dcterms:W3CDTF">2026-02-09T16:25:00Z</dcterms:created>
  <dcterms:modified xsi:type="dcterms:W3CDTF">2026-05-14T14:30:00Z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