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350" w:rsidRDefault="003E1050" w:rsidP="00246350">
      <w:pPr>
        <w:ind w:right="-142"/>
        <w:jc w:val="both"/>
        <w:rPr>
          <w:sz w:val="24"/>
          <w:szCs w:val="24"/>
        </w:rPr>
      </w:pPr>
      <w:r w:rsidRPr="003E1050">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108pt;margin-top:9pt;width:326.25pt;height:51.75pt;z-index:251660288" fillcolor="#369" stroked="f">
            <v:shadow on="t" color="silver" offset="3pt"/>
            <v:textpath style="font-family:&quot;Times New Roman&quot;;font-size:14pt;font-weight:bold;v-text-kern:t" trim="t" fitpath="t" string="CÂMARA MUNICIPAL DE CAMPO NOVO DO PARECIS&#10;ESTADO DE MATO GROSSO&#10;"/>
          </v:shape>
        </w:pict>
      </w:r>
      <w:r w:rsidR="00246350" w:rsidRPr="003E1050">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6" o:title=""/>
          </v:shape>
          <o:OLEObject Type="Embed" ProgID="CorelDRAW.Graphic.10" ShapeID="_x0000_i1025" DrawAspect="Content" ObjectID="_1497684531" r:id="rId7"/>
        </w:object>
      </w:r>
    </w:p>
    <w:p w:rsidR="00B6356E" w:rsidRDefault="00B6356E" w:rsidP="00B6356E">
      <w:pPr>
        <w:ind w:right="-96"/>
        <w:jc w:val="both"/>
        <w:rPr>
          <w:rFonts w:ascii="Times New Roman" w:hAnsi="Times New Roman" w:cs="Times New Roman"/>
          <w:b/>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B6356E" w:rsidRPr="005F4FF0" w:rsidTr="003F0491">
        <w:tc>
          <w:tcPr>
            <w:tcW w:w="8505" w:type="dxa"/>
          </w:tcPr>
          <w:p w:rsidR="00B6356E" w:rsidRPr="005F4FF0" w:rsidRDefault="00B6356E" w:rsidP="003F0491">
            <w:pPr>
              <w:jc w:val="both"/>
              <w:rPr>
                <w:b/>
                <w:sz w:val="24"/>
                <w:szCs w:val="24"/>
              </w:rPr>
            </w:pPr>
          </w:p>
          <w:p w:rsidR="00B6356E" w:rsidRPr="001840BF" w:rsidRDefault="00B6356E" w:rsidP="003F0491">
            <w:pPr>
              <w:rPr>
                <w:rFonts w:ascii="Times New Roman" w:hAnsi="Times New Roman" w:cs="Times New Roman"/>
                <w:b/>
                <w:sz w:val="24"/>
                <w:szCs w:val="24"/>
              </w:rPr>
            </w:pPr>
            <w:r>
              <w:rPr>
                <w:b/>
                <w:sz w:val="24"/>
                <w:szCs w:val="24"/>
              </w:rPr>
              <w:t xml:space="preserve">  </w:t>
            </w:r>
            <w:r w:rsidRPr="001840BF">
              <w:rPr>
                <w:rFonts w:ascii="Times New Roman" w:hAnsi="Times New Roman" w:cs="Times New Roman"/>
                <w:b/>
                <w:sz w:val="24"/>
                <w:szCs w:val="24"/>
              </w:rPr>
              <w:t>PROJETO DE LEI Nº 0</w:t>
            </w:r>
            <w:r w:rsidR="001840BF">
              <w:rPr>
                <w:rFonts w:ascii="Times New Roman" w:hAnsi="Times New Roman" w:cs="Times New Roman"/>
                <w:b/>
                <w:sz w:val="24"/>
                <w:szCs w:val="24"/>
              </w:rPr>
              <w:t>72</w:t>
            </w:r>
            <w:r w:rsidRPr="001840BF">
              <w:rPr>
                <w:rFonts w:ascii="Times New Roman" w:hAnsi="Times New Roman" w:cs="Times New Roman"/>
                <w:b/>
                <w:sz w:val="24"/>
                <w:szCs w:val="24"/>
              </w:rPr>
              <w:t xml:space="preserve">/2015-LE DE </w:t>
            </w:r>
            <w:r w:rsidR="001840BF">
              <w:rPr>
                <w:rFonts w:ascii="Times New Roman" w:hAnsi="Times New Roman" w:cs="Times New Roman"/>
                <w:b/>
                <w:sz w:val="24"/>
                <w:szCs w:val="24"/>
              </w:rPr>
              <w:t>6</w:t>
            </w:r>
            <w:r w:rsidRPr="001840BF">
              <w:rPr>
                <w:rFonts w:ascii="Times New Roman" w:hAnsi="Times New Roman" w:cs="Times New Roman"/>
                <w:b/>
                <w:sz w:val="24"/>
                <w:szCs w:val="24"/>
              </w:rPr>
              <w:t xml:space="preserve"> DEJU</w:t>
            </w:r>
            <w:r w:rsidR="001840BF">
              <w:rPr>
                <w:rFonts w:ascii="Times New Roman" w:hAnsi="Times New Roman" w:cs="Times New Roman"/>
                <w:b/>
                <w:sz w:val="24"/>
                <w:szCs w:val="24"/>
              </w:rPr>
              <w:t>L</w:t>
            </w:r>
            <w:r w:rsidRPr="001840BF">
              <w:rPr>
                <w:rFonts w:ascii="Times New Roman" w:hAnsi="Times New Roman" w:cs="Times New Roman"/>
                <w:b/>
                <w:sz w:val="24"/>
                <w:szCs w:val="24"/>
              </w:rPr>
              <w:t>HO DE  2015.</w:t>
            </w:r>
          </w:p>
          <w:p w:rsidR="00B6356E" w:rsidRPr="005F4FF0" w:rsidRDefault="00B6356E" w:rsidP="003F0491">
            <w:pPr>
              <w:jc w:val="both"/>
              <w:rPr>
                <w:b/>
                <w:sz w:val="24"/>
                <w:szCs w:val="24"/>
              </w:rPr>
            </w:pPr>
          </w:p>
        </w:tc>
      </w:tr>
    </w:tbl>
    <w:p w:rsidR="00B6356E" w:rsidRDefault="00B6356E" w:rsidP="00B6356E">
      <w:pPr>
        <w:rPr>
          <w:b/>
          <w:sz w:val="24"/>
          <w:szCs w:val="24"/>
        </w:rPr>
      </w:pPr>
    </w:p>
    <w:p w:rsidR="00246350" w:rsidRPr="00B6356E" w:rsidRDefault="00246350" w:rsidP="00B6356E">
      <w:pPr>
        <w:ind w:right="-96"/>
        <w:jc w:val="both"/>
        <w:rPr>
          <w:rFonts w:ascii="Times New Roman" w:hAnsi="Times New Roman" w:cs="Times New Roman"/>
          <w:b/>
          <w:sz w:val="24"/>
          <w:szCs w:val="24"/>
        </w:rPr>
      </w:pPr>
      <w:r w:rsidRPr="00B6356E">
        <w:rPr>
          <w:rFonts w:ascii="Times New Roman" w:hAnsi="Times New Roman" w:cs="Times New Roman"/>
          <w:b/>
          <w:sz w:val="24"/>
          <w:szCs w:val="24"/>
        </w:rPr>
        <w:t xml:space="preserve">AUTORIA: VEREADORES MILTON SOARES, CLÓVIS DE PAULA E SEBASTIÃO PEDRO DA VITÓRIA. </w:t>
      </w:r>
    </w:p>
    <w:p w:rsidR="00246350" w:rsidRPr="00B6356E" w:rsidRDefault="00246350" w:rsidP="00B6356E">
      <w:pPr>
        <w:ind w:right="-96"/>
        <w:jc w:val="both"/>
        <w:rPr>
          <w:rFonts w:ascii="Times New Roman" w:hAnsi="Times New Roman" w:cs="Times New Roman"/>
          <w:b/>
          <w:sz w:val="24"/>
          <w:szCs w:val="24"/>
        </w:rPr>
      </w:pPr>
    </w:p>
    <w:p w:rsidR="00246350" w:rsidRPr="00B6356E" w:rsidRDefault="00246350" w:rsidP="00B6356E">
      <w:pPr>
        <w:ind w:right="-96"/>
        <w:jc w:val="both"/>
        <w:rPr>
          <w:rFonts w:ascii="Times New Roman" w:hAnsi="Times New Roman" w:cs="Times New Roman"/>
          <w:b/>
          <w:sz w:val="24"/>
          <w:szCs w:val="24"/>
        </w:rPr>
      </w:pPr>
      <w:r w:rsidRPr="00B6356E">
        <w:rPr>
          <w:rFonts w:ascii="Times New Roman" w:hAnsi="Times New Roman" w:cs="Times New Roman"/>
          <w:b/>
          <w:sz w:val="24"/>
          <w:szCs w:val="24"/>
        </w:rPr>
        <w:t xml:space="preserve">DISPÕE SOBRE A RESPONSABILIDADE DA SINALIZAÇÃO DE SEGURANÇA PARA PEDESTRES NA ENTRADA E SAÍDA DE ESTACIONAMENTOS. </w:t>
      </w:r>
    </w:p>
    <w:p w:rsidR="00246350" w:rsidRPr="00B6356E" w:rsidRDefault="00246350" w:rsidP="00B6356E">
      <w:pPr>
        <w:ind w:right="-96"/>
        <w:jc w:val="both"/>
        <w:rPr>
          <w:rFonts w:ascii="Times New Roman" w:hAnsi="Times New Roman" w:cs="Times New Roman"/>
          <w:b/>
          <w:sz w:val="24"/>
          <w:szCs w:val="24"/>
        </w:rPr>
      </w:pPr>
    </w:p>
    <w:p w:rsidR="00B6356E" w:rsidRDefault="00246350" w:rsidP="00B6356E">
      <w:pPr>
        <w:tabs>
          <w:tab w:val="left" w:pos="1418"/>
          <w:tab w:val="left" w:pos="3686"/>
        </w:tabs>
        <w:ind w:right="-96"/>
        <w:jc w:val="both"/>
        <w:rPr>
          <w:rFonts w:ascii="Times New Roman" w:eastAsia="Batang" w:hAnsi="Times New Roman" w:cs="Times New Roman"/>
          <w:sz w:val="24"/>
          <w:szCs w:val="24"/>
        </w:rPr>
      </w:pPr>
      <w:r w:rsidRPr="00B6356E">
        <w:rPr>
          <w:rFonts w:ascii="Times New Roman" w:eastAsia="Batang" w:hAnsi="Times New Roman" w:cs="Times New Roman"/>
          <w:sz w:val="24"/>
          <w:szCs w:val="24"/>
        </w:rPr>
        <w:t xml:space="preserve">                       Os </w:t>
      </w:r>
      <w:r w:rsidR="00B6356E" w:rsidRPr="00B6356E">
        <w:rPr>
          <w:rFonts w:ascii="Times New Roman" w:eastAsia="Batang" w:hAnsi="Times New Roman" w:cs="Times New Roman"/>
          <w:sz w:val="24"/>
          <w:szCs w:val="24"/>
        </w:rPr>
        <w:t>V</w:t>
      </w:r>
      <w:r w:rsidRPr="00B6356E">
        <w:rPr>
          <w:rFonts w:ascii="Times New Roman" w:eastAsia="Batang" w:hAnsi="Times New Roman" w:cs="Times New Roman"/>
          <w:sz w:val="24"/>
          <w:szCs w:val="24"/>
        </w:rPr>
        <w:t>ereadores Milton Soares, Clóvis de Paula e Sebastião Pedro da Vitória, no uso das atribuições que lhes são conferidas por lei, e tendo em vista o disposto no art. 38, I, da Lei Orgânica Municipal, apresenta para apreciação e deli</w:t>
      </w:r>
      <w:r w:rsidR="00B6356E">
        <w:rPr>
          <w:rFonts w:ascii="Times New Roman" w:eastAsia="Batang" w:hAnsi="Times New Roman" w:cs="Times New Roman"/>
          <w:sz w:val="24"/>
          <w:szCs w:val="24"/>
        </w:rPr>
        <w:t>beração do Soberano Plenário o s</w:t>
      </w:r>
      <w:r w:rsidRPr="00B6356E">
        <w:rPr>
          <w:rFonts w:ascii="Times New Roman" w:eastAsia="Batang" w:hAnsi="Times New Roman" w:cs="Times New Roman"/>
          <w:sz w:val="24"/>
          <w:szCs w:val="24"/>
        </w:rPr>
        <w:t>eguinte Projeto de Lei</w:t>
      </w:r>
      <w:r w:rsidR="00B6356E">
        <w:rPr>
          <w:rFonts w:ascii="Times New Roman" w:eastAsia="Batang" w:hAnsi="Times New Roman" w:cs="Times New Roman"/>
          <w:sz w:val="24"/>
          <w:szCs w:val="24"/>
        </w:rPr>
        <w:t>:</w:t>
      </w:r>
    </w:p>
    <w:p w:rsidR="00B6356E" w:rsidRPr="00B6356E" w:rsidRDefault="00B6356E" w:rsidP="00B6356E">
      <w:pPr>
        <w:tabs>
          <w:tab w:val="left" w:pos="1418"/>
          <w:tab w:val="left" w:pos="3686"/>
        </w:tabs>
        <w:ind w:right="-96"/>
        <w:jc w:val="both"/>
        <w:rPr>
          <w:rFonts w:ascii="Times New Roman" w:eastAsia="Batang" w:hAnsi="Times New Roman" w:cs="Times New Roman"/>
          <w:b/>
          <w:sz w:val="24"/>
          <w:szCs w:val="24"/>
        </w:rPr>
      </w:pPr>
    </w:p>
    <w:p w:rsidR="00B6356E" w:rsidRDefault="00B6356E" w:rsidP="00B6356E">
      <w:pPr>
        <w:tabs>
          <w:tab w:val="left" w:pos="1418"/>
          <w:tab w:val="left" w:pos="3686"/>
        </w:tabs>
        <w:ind w:right="-96"/>
        <w:jc w:val="both"/>
        <w:rPr>
          <w:rStyle w:val="CorpodetextoChar"/>
          <w:rFonts w:eastAsia="Batang"/>
          <w:sz w:val="24"/>
          <w:szCs w:val="24"/>
          <w:lang w:eastAsia="en-US"/>
        </w:rPr>
      </w:pPr>
      <w:r w:rsidRPr="00B6356E">
        <w:rPr>
          <w:rFonts w:ascii="Times New Roman" w:eastAsia="Batang" w:hAnsi="Times New Roman" w:cs="Times New Roman"/>
          <w:b/>
          <w:sz w:val="24"/>
          <w:szCs w:val="24"/>
        </w:rPr>
        <w:tab/>
      </w:r>
      <w:r w:rsidR="00246350" w:rsidRPr="00B6356E">
        <w:rPr>
          <w:rStyle w:val="CorpodetextoChar"/>
          <w:rFonts w:eastAsia="Batang"/>
          <w:b/>
          <w:sz w:val="24"/>
          <w:szCs w:val="24"/>
        </w:rPr>
        <w:t>Art. 1</w:t>
      </w:r>
      <w:r w:rsidRPr="00B6356E">
        <w:rPr>
          <w:rStyle w:val="CorpodetextoChar"/>
          <w:rFonts w:eastAsia="Batang"/>
          <w:b/>
          <w:sz w:val="24"/>
          <w:szCs w:val="24"/>
        </w:rPr>
        <w:t>º</w:t>
      </w:r>
      <w:r>
        <w:rPr>
          <w:rStyle w:val="CorpodetextoChar"/>
          <w:rFonts w:eastAsia="Batang"/>
          <w:sz w:val="24"/>
          <w:szCs w:val="24"/>
        </w:rPr>
        <w:t>.</w:t>
      </w:r>
      <w:r w:rsidR="00246350" w:rsidRPr="00B6356E">
        <w:rPr>
          <w:rStyle w:val="CorpodetextoChar"/>
          <w:rFonts w:eastAsia="Batang"/>
          <w:sz w:val="24"/>
          <w:szCs w:val="24"/>
        </w:rPr>
        <w:t xml:space="preserve"> Ficam os estabelecimentos privados que prestam serviço de guarda de veículos de forma gratuita e remunerada, os residenciais e os condomínios fechados, responsáveis por promover a segurança dos pedestres que transitam defronte a entrada e saída de veículos do estacionamento.</w:t>
      </w:r>
    </w:p>
    <w:p w:rsidR="00B6356E" w:rsidRDefault="00B6356E" w:rsidP="00B6356E">
      <w:pPr>
        <w:tabs>
          <w:tab w:val="left" w:pos="1418"/>
          <w:tab w:val="left" w:pos="3686"/>
        </w:tabs>
        <w:ind w:right="-96"/>
        <w:jc w:val="both"/>
        <w:rPr>
          <w:rStyle w:val="CorpodetextoChar"/>
          <w:rFonts w:eastAsia="Batang"/>
          <w:sz w:val="24"/>
          <w:szCs w:val="24"/>
          <w:lang w:eastAsia="en-US"/>
        </w:rPr>
      </w:pPr>
      <w:r>
        <w:rPr>
          <w:rStyle w:val="CorpodetextoChar"/>
          <w:rFonts w:eastAsia="Batang"/>
          <w:sz w:val="24"/>
          <w:szCs w:val="24"/>
          <w:lang w:eastAsia="en-US"/>
        </w:rPr>
        <w:tab/>
      </w:r>
      <w:r>
        <w:rPr>
          <w:rStyle w:val="CorpodetextoChar"/>
          <w:rFonts w:eastAsia="Batang"/>
          <w:sz w:val="24"/>
          <w:szCs w:val="24"/>
        </w:rPr>
        <w:t>Parágrafo único.</w:t>
      </w:r>
      <w:r w:rsidR="00246350" w:rsidRPr="00B6356E">
        <w:rPr>
          <w:rStyle w:val="CorpodetextoChar"/>
          <w:rFonts w:eastAsia="Batang"/>
          <w:sz w:val="24"/>
          <w:szCs w:val="24"/>
        </w:rPr>
        <w:t xml:space="preserve"> para o fim de que trata este artigo, consideram-se equipamentos que auxiliam na prevenção dos riscos de acidentes aos transeuntes que circulam nas calçadas das vias públicas:</w:t>
      </w:r>
    </w:p>
    <w:p w:rsidR="00B6356E" w:rsidRDefault="00B6356E" w:rsidP="00B6356E">
      <w:pPr>
        <w:tabs>
          <w:tab w:val="left" w:pos="1418"/>
          <w:tab w:val="left" w:pos="3686"/>
        </w:tabs>
        <w:ind w:right="-96"/>
        <w:jc w:val="both"/>
        <w:rPr>
          <w:rStyle w:val="CorpodetextoChar"/>
          <w:rFonts w:eastAsia="Batang"/>
          <w:sz w:val="24"/>
          <w:szCs w:val="24"/>
          <w:lang w:eastAsia="en-US"/>
        </w:rPr>
      </w:pPr>
      <w:r>
        <w:rPr>
          <w:rStyle w:val="CorpodetextoChar"/>
          <w:rFonts w:eastAsia="Batang"/>
          <w:sz w:val="24"/>
          <w:szCs w:val="24"/>
          <w:lang w:eastAsia="en-US"/>
        </w:rPr>
        <w:tab/>
      </w:r>
      <w:r w:rsidR="00246350" w:rsidRPr="00B6356E">
        <w:rPr>
          <w:rStyle w:val="CorpodetextoChar"/>
          <w:rFonts w:eastAsia="Batang"/>
          <w:sz w:val="24"/>
          <w:szCs w:val="24"/>
        </w:rPr>
        <w:t xml:space="preserve">I – </w:t>
      </w:r>
      <w:r w:rsidR="001840BF">
        <w:rPr>
          <w:rStyle w:val="CorpodetextoChar"/>
          <w:rFonts w:eastAsia="Batang"/>
          <w:sz w:val="24"/>
          <w:szCs w:val="24"/>
        </w:rPr>
        <w:t>i</w:t>
      </w:r>
      <w:r w:rsidR="00246350" w:rsidRPr="00B6356E">
        <w:rPr>
          <w:rStyle w:val="CorpodetextoChar"/>
          <w:rFonts w:eastAsia="Batang"/>
          <w:sz w:val="24"/>
          <w:szCs w:val="24"/>
        </w:rPr>
        <w:t>nstalação de sinalizadores luminosos na entrada e saída do estacionamento para alertar os pedestres e aos motoristas dos veículos para os riscos de acidentes em função do fluxo de pessoas pelo local, na forma estabelecida na Resolução nº 38, de 21 de maio de 1998, do CONTRAN;</w:t>
      </w:r>
    </w:p>
    <w:p w:rsidR="00B6356E" w:rsidRDefault="00B6356E" w:rsidP="00B6356E">
      <w:pPr>
        <w:tabs>
          <w:tab w:val="left" w:pos="1418"/>
          <w:tab w:val="left" w:pos="3686"/>
        </w:tabs>
        <w:ind w:right="-96"/>
        <w:jc w:val="both"/>
        <w:rPr>
          <w:rStyle w:val="CorpodetextoChar"/>
          <w:rFonts w:eastAsia="Batang"/>
          <w:sz w:val="24"/>
          <w:szCs w:val="24"/>
        </w:rPr>
      </w:pPr>
      <w:r>
        <w:rPr>
          <w:rStyle w:val="CorpodetextoChar"/>
          <w:rFonts w:eastAsia="Batang"/>
          <w:sz w:val="24"/>
          <w:szCs w:val="24"/>
          <w:lang w:eastAsia="en-US"/>
        </w:rPr>
        <w:tab/>
      </w:r>
      <w:r w:rsidR="00246350" w:rsidRPr="00B6356E">
        <w:rPr>
          <w:rStyle w:val="CorpodetextoChar"/>
          <w:rFonts w:eastAsia="Batang"/>
          <w:sz w:val="24"/>
          <w:szCs w:val="24"/>
        </w:rPr>
        <w:t xml:space="preserve">II – </w:t>
      </w:r>
      <w:r w:rsidR="001840BF">
        <w:rPr>
          <w:rStyle w:val="CorpodetextoChar"/>
          <w:rFonts w:eastAsia="Batang"/>
          <w:sz w:val="24"/>
          <w:szCs w:val="24"/>
        </w:rPr>
        <w:t>i</w:t>
      </w:r>
      <w:r w:rsidR="00246350" w:rsidRPr="00B6356E">
        <w:rPr>
          <w:rStyle w:val="CorpodetextoChar"/>
          <w:rFonts w:eastAsia="Batang"/>
          <w:sz w:val="24"/>
          <w:szCs w:val="24"/>
        </w:rPr>
        <w:t>nstalação de placas de sinalização, no alinhamento predial do imóvel ou em seu interior, próximo à entrada e saída do estacionamento, alertando o motorista de ve</w:t>
      </w:r>
      <w:r w:rsidR="001840BF">
        <w:rPr>
          <w:rStyle w:val="CorpodetextoChar"/>
          <w:rFonts w:eastAsia="Batang"/>
          <w:sz w:val="24"/>
          <w:szCs w:val="24"/>
        </w:rPr>
        <w:t>í</w:t>
      </w:r>
      <w:r w:rsidR="00246350" w:rsidRPr="00B6356E">
        <w:rPr>
          <w:rStyle w:val="CorpodetextoChar"/>
          <w:rFonts w:eastAsia="Batang"/>
          <w:sz w:val="24"/>
          <w:szCs w:val="24"/>
        </w:rPr>
        <w:t>culo que a preferência de circulação é do pedestre, através da seguinte inscrição “ATENÇÃO MOTORISTA, A PREFERÊNC</w:t>
      </w:r>
      <w:r>
        <w:rPr>
          <w:rStyle w:val="CorpodetextoChar"/>
          <w:rFonts w:eastAsia="Batang"/>
          <w:sz w:val="24"/>
          <w:szCs w:val="24"/>
        </w:rPr>
        <w:t>IA DE CIRCULAÇÃO É DO PEDESTRE”;</w:t>
      </w:r>
    </w:p>
    <w:p w:rsidR="00B6356E" w:rsidRDefault="00B6356E" w:rsidP="00B6356E">
      <w:pPr>
        <w:tabs>
          <w:tab w:val="left" w:pos="1418"/>
          <w:tab w:val="left" w:pos="3686"/>
        </w:tabs>
        <w:ind w:right="-96"/>
        <w:jc w:val="both"/>
        <w:rPr>
          <w:rStyle w:val="CorpodetextoChar"/>
          <w:rFonts w:eastAsia="Batang"/>
          <w:sz w:val="24"/>
          <w:szCs w:val="24"/>
          <w:lang w:eastAsia="en-US"/>
        </w:rPr>
      </w:pPr>
      <w:r>
        <w:rPr>
          <w:rStyle w:val="CorpodetextoChar"/>
          <w:rFonts w:eastAsia="Batang"/>
          <w:sz w:val="24"/>
          <w:szCs w:val="24"/>
        </w:rPr>
        <w:tab/>
      </w:r>
      <w:r w:rsidR="00246350" w:rsidRPr="00B6356E">
        <w:rPr>
          <w:rStyle w:val="CorpodetextoChar"/>
          <w:rFonts w:eastAsia="Batang"/>
          <w:sz w:val="24"/>
          <w:szCs w:val="24"/>
        </w:rPr>
        <w:t xml:space="preserve">III – </w:t>
      </w:r>
      <w:r w:rsidR="001840BF">
        <w:rPr>
          <w:rStyle w:val="CorpodetextoChar"/>
          <w:rFonts w:eastAsia="Batang"/>
          <w:sz w:val="24"/>
          <w:szCs w:val="24"/>
        </w:rPr>
        <w:t>s</w:t>
      </w:r>
      <w:r w:rsidR="00246350" w:rsidRPr="00B6356E">
        <w:rPr>
          <w:rStyle w:val="CorpodetextoChar"/>
          <w:rFonts w:eastAsia="Batang"/>
          <w:sz w:val="24"/>
          <w:szCs w:val="24"/>
        </w:rPr>
        <w:t>inalizadores sonoros que produzam bip inferior a 80 decibéis.</w:t>
      </w:r>
    </w:p>
    <w:p w:rsidR="001840BF" w:rsidRDefault="001840BF" w:rsidP="00B6356E">
      <w:pPr>
        <w:tabs>
          <w:tab w:val="left" w:pos="1418"/>
          <w:tab w:val="left" w:pos="3686"/>
        </w:tabs>
        <w:ind w:right="-96"/>
        <w:jc w:val="both"/>
        <w:rPr>
          <w:rStyle w:val="CorpodetextoChar"/>
          <w:rFonts w:eastAsia="Batang"/>
          <w:sz w:val="24"/>
          <w:szCs w:val="24"/>
          <w:lang w:eastAsia="en-US"/>
        </w:rPr>
      </w:pPr>
    </w:p>
    <w:p w:rsidR="00B6356E" w:rsidRDefault="00B6356E" w:rsidP="00B6356E">
      <w:pPr>
        <w:tabs>
          <w:tab w:val="left" w:pos="1418"/>
          <w:tab w:val="left" w:pos="3686"/>
        </w:tabs>
        <w:ind w:right="-96"/>
        <w:jc w:val="both"/>
        <w:rPr>
          <w:rStyle w:val="CorpodetextoChar"/>
          <w:rFonts w:eastAsia="Batang"/>
          <w:sz w:val="24"/>
          <w:szCs w:val="24"/>
          <w:lang w:eastAsia="en-US"/>
        </w:rPr>
      </w:pPr>
      <w:r>
        <w:rPr>
          <w:rStyle w:val="CorpodetextoChar"/>
          <w:rFonts w:eastAsia="Batang"/>
          <w:sz w:val="24"/>
          <w:szCs w:val="24"/>
          <w:lang w:eastAsia="en-US"/>
        </w:rPr>
        <w:lastRenderedPageBreak/>
        <w:tab/>
      </w:r>
      <w:r w:rsidR="00246350" w:rsidRPr="00B6356E">
        <w:rPr>
          <w:rStyle w:val="CorpodetextoChar"/>
          <w:rFonts w:eastAsia="Batang"/>
          <w:b/>
          <w:sz w:val="24"/>
          <w:szCs w:val="24"/>
        </w:rPr>
        <w:t>Art. 2º</w:t>
      </w:r>
      <w:r>
        <w:rPr>
          <w:rStyle w:val="CorpodetextoChar"/>
          <w:rFonts w:eastAsia="Batang"/>
          <w:sz w:val="24"/>
          <w:szCs w:val="24"/>
        </w:rPr>
        <w:t>.</w:t>
      </w:r>
      <w:r w:rsidR="00246350" w:rsidRPr="00B6356E">
        <w:rPr>
          <w:rStyle w:val="CorpodetextoChar"/>
          <w:rFonts w:eastAsia="Batang"/>
          <w:sz w:val="24"/>
          <w:szCs w:val="24"/>
        </w:rPr>
        <w:t xml:space="preserve"> Ficam obrigados a atender o disposto nesta Lei os estabelecimentos com mais de cinco vagas para guarda de veículos.</w:t>
      </w:r>
    </w:p>
    <w:p w:rsidR="00B6356E" w:rsidRDefault="00B6356E" w:rsidP="00B6356E">
      <w:pPr>
        <w:tabs>
          <w:tab w:val="left" w:pos="1418"/>
          <w:tab w:val="left" w:pos="3686"/>
        </w:tabs>
        <w:ind w:right="-96"/>
        <w:jc w:val="both"/>
        <w:rPr>
          <w:rStyle w:val="CorpodetextoChar"/>
          <w:rFonts w:eastAsia="Batang"/>
          <w:sz w:val="24"/>
          <w:szCs w:val="24"/>
          <w:lang w:eastAsia="en-US"/>
        </w:rPr>
      </w:pPr>
    </w:p>
    <w:p w:rsidR="00B6356E" w:rsidRDefault="00B6356E" w:rsidP="00B6356E">
      <w:pPr>
        <w:tabs>
          <w:tab w:val="left" w:pos="1418"/>
          <w:tab w:val="left" w:pos="3686"/>
        </w:tabs>
        <w:ind w:right="-96"/>
        <w:jc w:val="both"/>
        <w:rPr>
          <w:rFonts w:ascii="Times New Roman" w:hAnsi="Times New Roman" w:cs="Times New Roman"/>
          <w:sz w:val="24"/>
          <w:szCs w:val="24"/>
        </w:rPr>
      </w:pPr>
      <w:r>
        <w:rPr>
          <w:rStyle w:val="CorpodetextoChar"/>
          <w:rFonts w:eastAsia="Batang"/>
          <w:sz w:val="24"/>
          <w:szCs w:val="24"/>
          <w:lang w:eastAsia="en-US"/>
        </w:rPr>
        <w:tab/>
      </w:r>
      <w:r w:rsidR="00246350" w:rsidRPr="00B6356E">
        <w:rPr>
          <w:rFonts w:ascii="Times New Roman" w:hAnsi="Times New Roman" w:cs="Times New Roman"/>
          <w:b/>
          <w:sz w:val="24"/>
          <w:szCs w:val="24"/>
        </w:rPr>
        <w:t>Art. 3</w:t>
      </w:r>
      <w:r w:rsidRPr="00B6356E">
        <w:rPr>
          <w:rFonts w:ascii="Times New Roman" w:hAnsi="Times New Roman" w:cs="Times New Roman"/>
          <w:b/>
          <w:sz w:val="24"/>
          <w:szCs w:val="24"/>
        </w:rPr>
        <w:t>º</w:t>
      </w:r>
      <w:r w:rsidR="00246350" w:rsidRPr="00B6356E">
        <w:rPr>
          <w:rFonts w:ascii="Times New Roman" w:hAnsi="Times New Roman" w:cs="Times New Roman"/>
          <w:sz w:val="24"/>
          <w:szCs w:val="24"/>
        </w:rPr>
        <w:t>. A manutenção para o funcionamento permanente dos instrumentos serão custeados pelos responsáveis do estabelecimento, de forma a zelar pela integridade física dos transeuntes, obedecidas as normas de tr</w:t>
      </w:r>
      <w:r w:rsidR="001840BF">
        <w:rPr>
          <w:rFonts w:ascii="Times New Roman" w:hAnsi="Times New Roman" w:cs="Times New Roman"/>
          <w:sz w:val="24"/>
          <w:szCs w:val="24"/>
        </w:rPr>
        <w:t>á</w:t>
      </w:r>
      <w:r w:rsidR="00246350" w:rsidRPr="00B6356E">
        <w:rPr>
          <w:rFonts w:ascii="Times New Roman" w:hAnsi="Times New Roman" w:cs="Times New Roman"/>
          <w:sz w:val="24"/>
          <w:szCs w:val="24"/>
        </w:rPr>
        <w:t>fego que regulamentam a mobilidade urbana pertinentes, nos termos do Códi</w:t>
      </w:r>
      <w:r>
        <w:rPr>
          <w:rFonts w:ascii="Times New Roman" w:hAnsi="Times New Roman" w:cs="Times New Roman"/>
          <w:sz w:val="24"/>
          <w:szCs w:val="24"/>
        </w:rPr>
        <w:t>go de Trânsito Brasileiro – CTB.</w:t>
      </w:r>
    </w:p>
    <w:p w:rsidR="00B6356E" w:rsidRDefault="00B6356E" w:rsidP="00B6356E">
      <w:pPr>
        <w:tabs>
          <w:tab w:val="left" w:pos="1418"/>
          <w:tab w:val="left" w:pos="3686"/>
        </w:tabs>
        <w:ind w:right="-96"/>
        <w:jc w:val="both"/>
        <w:rPr>
          <w:rFonts w:ascii="Times New Roman" w:hAnsi="Times New Roman" w:cs="Times New Roman"/>
          <w:sz w:val="24"/>
          <w:szCs w:val="24"/>
        </w:rPr>
      </w:pPr>
    </w:p>
    <w:p w:rsidR="00B6356E" w:rsidRDefault="00B6356E" w:rsidP="00B6356E">
      <w:pPr>
        <w:tabs>
          <w:tab w:val="left" w:pos="1418"/>
          <w:tab w:val="left" w:pos="3686"/>
        </w:tabs>
        <w:ind w:right="-96"/>
        <w:jc w:val="both"/>
        <w:rPr>
          <w:rFonts w:ascii="Times New Roman" w:eastAsia="Batang" w:hAnsi="Times New Roman" w:cs="Times New Roman"/>
          <w:sz w:val="24"/>
          <w:szCs w:val="24"/>
        </w:rPr>
      </w:pPr>
      <w:r>
        <w:rPr>
          <w:rFonts w:ascii="Times New Roman" w:hAnsi="Times New Roman" w:cs="Times New Roman"/>
          <w:sz w:val="24"/>
          <w:szCs w:val="24"/>
        </w:rPr>
        <w:tab/>
      </w:r>
      <w:r w:rsidR="00246350" w:rsidRPr="00B6356E">
        <w:rPr>
          <w:rFonts w:ascii="Times New Roman" w:hAnsi="Times New Roman" w:cs="Times New Roman"/>
          <w:b/>
          <w:sz w:val="24"/>
          <w:szCs w:val="24"/>
        </w:rPr>
        <w:t>Art. 4</w:t>
      </w:r>
      <w:r>
        <w:rPr>
          <w:rFonts w:ascii="Times New Roman" w:hAnsi="Times New Roman" w:cs="Times New Roman"/>
          <w:b/>
          <w:sz w:val="24"/>
          <w:szCs w:val="24"/>
        </w:rPr>
        <w:t>º</w:t>
      </w:r>
      <w:r w:rsidR="00246350" w:rsidRPr="00B6356E">
        <w:rPr>
          <w:rFonts w:ascii="Times New Roman" w:hAnsi="Times New Roman" w:cs="Times New Roman"/>
          <w:sz w:val="24"/>
          <w:szCs w:val="24"/>
        </w:rPr>
        <w:t xml:space="preserve">. Os funcionários controladores do fluxo de entrada e saída de veículos deverão ser devidamente capacitados pelos estabelecimentos, através de treinamento adequado, conforme legislação vigente, visando orientar e fiscalizar os motoristas a respeitar aos pedestres. </w:t>
      </w:r>
    </w:p>
    <w:p w:rsidR="00B6356E" w:rsidRDefault="00B6356E" w:rsidP="00B6356E">
      <w:pPr>
        <w:tabs>
          <w:tab w:val="left" w:pos="1418"/>
          <w:tab w:val="left" w:pos="3686"/>
        </w:tabs>
        <w:ind w:right="-96"/>
        <w:jc w:val="both"/>
        <w:rPr>
          <w:rFonts w:ascii="Times New Roman" w:eastAsia="Batang" w:hAnsi="Times New Roman" w:cs="Times New Roman"/>
          <w:sz w:val="24"/>
          <w:szCs w:val="24"/>
        </w:rPr>
      </w:pPr>
    </w:p>
    <w:p w:rsidR="00B6356E" w:rsidRDefault="00B6356E" w:rsidP="00B6356E">
      <w:pPr>
        <w:tabs>
          <w:tab w:val="left" w:pos="1418"/>
          <w:tab w:val="left" w:pos="3686"/>
        </w:tabs>
        <w:ind w:right="-96"/>
        <w:jc w:val="both"/>
        <w:rPr>
          <w:rFonts w:ascii="Times New Roman" w:eastAsia="Batang" w:hAnsi="Times New Roman" w:cs="Times New Roman"/>
          <w:sz w:val="24"/>
          <w:szCs w:val="24"/>
        </w:rPr>
      </w:pPr>
      <w:r>
        <w:rPr>
          <w:rFonts w:ascii="Times New Roman" w:eastAsia="Batang" w:hAnsi="Times New Roman" w:cs="Times New Roman"/>
          <w:sz w:val="24"/>
          <w:szCs w:val="24"/>
        </w:rPr>
        <w:tab/>
      </w:r>
      <w:r w:rsidR="00246350" w:rsidRPr="00B6356E">
        <w:rPr>
          <w:rFonts w:ascii="Times New Roman" w:hAnsi="Times New Roman" w:cs="Times New Roman"/>
          <w:b/>
          <w:sz w:val="24"/>
          <w:szCs w:val="24"/>
        </w:rPr>
        <w:t>Art. 5</w:t>
      </w:r>
      <w:r w:rsidRPr="00B6356E">
        <w:rPr>
          <w:rFonts w:ascii="Times New Roman" w:hAnsi="Times New Roman" w:cs="Times New Roman"/>
          <w:b/>
          <w:sz w:val="24"/>
          <w:szCs w:val="24"/>
        </w:rPr>
        <w:t>º</w:t>
      </w:r>
      <w:r w:rsidR="00246350" w:rsidRPr="00B6356E">
        <w:rPr>
          <w:rFonts w:ascii="Times New Roman" w:hAnsi="Times New Roman" w:cs="Times New Roman"/>
          <w:sz w:val="24"/>
          <w:szCs w:val="24"/>
        </w:rPr>
        <w:t xml:space="preserve">. A desobediência ou a inobservância de qualquer dispositivo desta Lei sujeitará o infrator às seguintes penalidades: </w:t>
      </w:r>
    </w:p>
    <w:p w:rsidR="00B6356E" w:rsidRDefault="00B6356E" w:rsidP="00B6356E">
      <w:pPr>
        <w:tabs>
          <w:tab w:val="left" w:pos="1418"/>
          <w:tab w:val="left" w:pos="3686"/>
        </w:tabs>
        <w:ind w:right="-96"/>
        <w:jc w:val="both"/>
        <w:rPr>
          <w:rFonts w:ascii="Times New Roman" w:hAnsi="Times New Roman" w:cs="Times New Roman"/>
          <w:sz w:val="24"/>
          <w:szCs w:val="24"/>
        </w:rPr>
      </w:pPr>
      <w:r>
        <w:rPr>
          <w:rFonts w:ascii="Times New Roman" w:eastAsia="Batang" w:hAnsi="Times New Roman" w:cs="Times New Roman"/>
          <w:sz w:val="24"/>
          <w:szCs w:val="24"/>
        </w:rPr>
        <w:tab/>
      </w:r>
      <w:r w:rsidR="00246350" w:rsidRPr="00B6356E">
        <w:rPr>
          <w:rFonts w:ascii="Times New Roman" w:hAnsi="Times New Roman" w:cs="Times New Roman"/>
          <w:sz w:val="24"/>
          <w:szCs w:val="24"/>
        </w:rPr>
        <w:t>I</w:t>
      </w:r>
      <w:r>
        <w:rPr>
          <w:rFonts w:ascii="Times New Roman" w:hAnsi="Times New Roman" w:cs="Times New Roman"/>
          <w:sz w:val="24"/>
          <w:szCs w:val="24"/>
        </w:rPr>
        <w:t xml:space="preserve"> -</w:t>
      </w:r>
      <w:r w:rsidR="00246350" w:rsidRPr="00B6356E">
        <w:rPr>
          <w:rFonts w:ascii="Times New Roman" w:hAnsi="Times New Roman" w:cs="Times New Roman"/>
          <w:sz w:val="24"/>
          <w:szCs w:val="24"/>
        </w:rPr>
        <w:t xml:space="preserve"> </w:t>
      </w:r>
      <w:r>
        <w:rPr>
          <w:rFonts w:ascii="Times New Roman" w:hAnsi="Times New Roman" w:cs="Times New Roman"/>
          <w:sz w:val="24"/>
          <w:szCs w:val="24"/>
        </w:rPr>
        <w:t>a</w:t>
      </w:r>
      <w:r w:rsidR="00246350" w:rsidRPr="00B6356E">
        <w:rPr>
          <w:rFonts w:ascii="Times New Roman" w:hAnsi="Times New Roman" w:cs="Times New Roman"/>
          <w:sz w:val="24"/>
          <w:szCs w:val="24"/>
        </w:rPr>
        <w:t xml:space="preserve">dvertência por escrito, notificando-se o infrator para sanar a irregularidade, no prazo de 30 dias, contado da </w:t>
      </w:r>
      <w:r>
        <w:rPr>
          <w:rFonts w:ascii="Times New Roman" w:hAnsi="Times New Roman" w:cs="Times New Roman"/>
          <w:sz w:val="24"/>
          <w:szCs w:val="24"/>
        </w:rPr>
        <w:t>notificação, sob pena de multa;</w:t>
      </w:r>
    </w:p>
    <w:p w:rsidR="00B6356E" w:rsidRDefault="00B6356E" w:rsidP="00B6356E">
      <w:pPr>
        <w:tabs>
          <w:tab w:val="left" w:pos="1418"/>
          <w:tab w:val="left" w:pos="3686"/>
        </w:tabs>
        <w:ind w:right="-96"/>
        <w:jc w:val="both"/>
        <w:rPr>
          <w:rFonts w:ascii="Times New Roman" w:hAnsi="Times New Roman" w:cs="Times New Roman"/>
          <w:sz w:val="24"/>
          <w:szCs w:val="24"/>
        </w:rPr>
      </w:pPr>
      <w:r>
        <w:rPr>
          <w:rFonts w:ascii="Times New Roman" w:hAnsi="Times New Roman" w:cs="Times New Roman"/>
          <w:sz w:val="24"/>
          <w:szCs w:val="24"/>
        </w:rPr>
        <w:tab/>
      </w:r>
      <w:r w:rsidR="00246350" w:rsidRPr="00B6356E">
        <w:rPr>
          <w:rFonts w:ascii="Times New Roman" w:hAnsi="Times New Roman" w:cs="Times New Roman"/>
          <w:sz w:val="24"/>
          <w:szCs w:val="24"/>
        </w:rPr>
        <w:t>II</w:t>
      </w:r>
      <w:r>
        <w:rPr>
          <w:rFonts w:ascii="Times New Roman" w:hAnsi="Times New Roman" w:cs="Times New Roman"/>
          <w:sz w:val="24"/>
          <w:szCs w:val="24"/>
        </w:rPr>
        <w:t xml:space="preserve"> -</w:t>
      </w:r>
      <w:r w:rsidR="00246350" w:rsidRPr="00B6356E">
        <w:rPr>
          <w:rFonts w:ascii="Times New Roman" w:hAnsi="Times New Roman" w:cs="Times New Roman"/>
          <w:sz w:val="24"/>
          <w:szCs w:val="24"/>
        </w:rPr>
        <w:t xml:space="preserve"> </w:t>
      </w:r>
      <w:r>
        <w:rPr>
          <w:rFonts w:ascii="Times New Roman" w:hAnsi="Times New Roman" w:cs="Times New Roman"/>
          <w:sz w:val="24"/>
          <w:szCs w:val="24"/>
        </w:rPr>
        <w:t>n</w:t>
      </w:r>
      <w:r w:rsidR="00246350" w:rsidRPr="00B6356E">
        <w:rPr>
          <w:rFonts w:ascii="Times New Roman" w:hAnsi="Times New Roman" w:cs="Times New Roman"/>
          <w:sz w:val="24"/>
          <w:szCs w:val="24"/>
        </w:rPr>
        <w:t>ão sanada a irregularidade, será aplicada multa no valor de até 20 U</w:t>
      </w:r>
      <w:r>
        <w:rPr>
          <w:rFonts w:ascii="Times New Roman" w:hAnsi="Times New Roman" w:cs="Times New Roman"/>
          <w:sz w:val="24"/>
          <w:szCs w:val="24"/>
        </w:rPr>
        <w:t>FCNP</w:t>
      </w:r>
      <w:r w:rsidR="00246350" w:rsidRPr="00B6356E">
        <w:rPr>
          <w:rFonts w:ascii="Times New Roman" w:hAnsi="Times New Roman" w:cs="Times New Roman"/>
          <w:sz w:val="24"/>
          <w:szCs w:val="24"/>
        </w:rPr>
        <w:t xml:space="preserve"> e suspensão do alvará de funcionamen</w:t>
      </w:r>
      <w:r>
        <w:rPr>
          <w:rFonts w:ascii="Times New Roman" w:hAnsi="Times New Roman" w:cs="Times New Roman"/>
          <w:sz w:val="24"/>
          <w:szCs w:val="24"/>
        </w:rPr>
        <w:t>to até que a mesma seja sanada.</w:t>
      </w:r>
    </w:p>
    <w:p w:rsidR="00B6356E" w:rsidRDefault="00B6356E" w:rsidP="00B6356E">
      <w:pPr>
        <w:tabs>
          <w:tab w:val="left" w:pos="1418"/>
          <w:tab w:val="left" w:pos="3686"/>
        </w:tabs>
        <w:ind w:right="-96"/>
        <w:jc w:val="both"/>
        <w:rPr>
          <w:rFonts w:ascii="Times New Roman" w:hAnsi="Times New Roman" w:cs="Times New Roman"/>
          <w:sz w:val="24"/>
          <w:szCs w:val="24"/>
        </w:rPr>
      </w:pPr>
    </w:p>
    <w:p w:rsidR="00B6356E" w:rsidRDefault="00B6356E" w:rsidP="00B6356E">
      <w:pPr>
        <w:tabs>
          <w:tab w:val="left" w:pos="1418"/>
          <w:tab w:val="left" w:pos="3686"/>
        </w:tabs>
        <w:ind w:right="-96"/>
        <w:jc w:val="both"/>
        <w:rPr>
          <w:rFonts w:ascii="Times New Roman" w:eastAsia="Batang" w:hAnsi="Times New Roman" w:cs="Times New Roman"/>
          <w:sz w:val="24"/>
          <w:szCs w:val="24"/>
        </w:rPr>
      </w:pPr>
      <w:r>
        <w:rPr>
          <w:rFonts w:ascii="Times New Roman" w:hAnsi="Times New Roman" w:cs="Times New Roman"/>
          <w:sz w:val="24"/>
          <w:szCs w:val="24"/>
        </w:rPr>
        <w:tab/>
      </w:r>
      <w:r w:rsidR="00246350" w:rsidRPr="00B6356E">
        <w:rPr>
          <w:rFonts w:ascii="Times New Roman" w:hAnsi="Times New Roman" w:cs="Times New Roman"/>
          <w:b/>
          <w:sz w:val="24"/>
          <w:szCs w:val="24"/>
        </w:rPr>
        <w:t>Art. 6</w:t>
      </w:r>
      <w:r>
        <w:rPr>
          <w:rFonts w:ascii="Times New Roman" w:hAnsi="Times New Roman" w:cs="Times New Roman"/>
          <w:b/>
          <w:sz w:val="24"/>
          <w:szCs w:val="24"/>
        </w:rPr>
        <w:t>º</w:t>
      </w:r>
      <w:r w:rsidR="00246350" w:rsidRPr="00B6356E">
        <w:rPr>
          <w:rFonts w:ascii="Times New Roman" w:hAnsi="Times New Roman" w:cs="Times New Roman"/>
          <w:sz w:val="24"/>
          <w:szCs w:val="24"/>
        </w:rPr>
        <w:t xml:space="preserve">. Em caso de estabelecimentos novos, o alvará de funcionamento não será expedido na falta de qualquer dos equipamentos e obrigações disposto nesta lei; </w:t>
      </w:r>
    </w:p>
    <w:p w:rsidR="00B6356E" w:rsidRDefault="00B6356E" w:rsidP="00B6356E">
      <w:pPr>
        <w:tabs>
          <w:tab w:val="left" w:pos="1418"/>
          <w:tab w:val="left" w:pos="3686"/>
        </w:tabs>
        <w:ind w:right="-96"/>
        <w:jc w:val="both"/>
        <w:rPr>
          <w:rFonts w:ascii="Times New Roman" w:eastAsia="Batang" w:hAnsi="Times New Roman" w:cs="Times New Roman"/>
          <w:sz w:val="24"/>
          <w:szCs w:val="24"/>
        </w:rPr>
      </w:pPr>
    </w:p>
    <w:p w:rsidR="00B6356E" w:rsidRDefault="00B6356E" w:rsidP="00B6356E">
      <w:pPr>
        <w:tabs>
          <w:tab w:val="left" w:pos="1418"/>
          <w:tab w:val="left" w:pos="3686"/>
        </w:tabs>
        <w:ind w:right="-96"/>
        <w:jc w:val="both"/>
        <w:rPr>
          <w:rFonts w:ascii="Times New Roman" w:eastAsia="Batang" w:hAnsi="Times New Roman" w:cs="Times New Roman"/>
          <w:sz w:val="24"/>
          <w:szCs w:val="24"/>
        </w:rPr>
      </w:pPr>
      <w:r>
        <w:rPr>
          <w:rFonts w:ascii="Times New Roman" w:eastAsia="Batang" w:hAnsi="Times New Roman" w:cs="Times New Roman"/>
          <w:sz w:val="24"/>
          <w:szCs w:val="24"/>
        </w:rPr>
        <w:tab/>
      </w:r>
      <w:r w:rsidR="00246350" w:rsidRPr="00B6356E">
        <w:rPr>
          <w:rFonts w:ascii="Times New Roman" w:hAnsi="Times New Roman" w:cs="Times New Roman"/>
          <w:b/>
          <w:sz w:val="24"/>
          <w:szCs w:val="24"/>
        </w:rPr>
        <w:t>Art. 7</w:t>
      </w:r>
      <w:r>
        <w:rPr>
          <w:rFonts w:ascii="Times New Roman" w:hAnsi="Times New Roman" w:cs="Times New Roman"/>
          <w:b/>
          <w:sz w:val="24"/>
          <w:szCs w:val="24"/>
        </w:rPr>
        <w:t>º</w:t>
      </w:r>
      <w:r w:rsidR="00246350" w:rsidRPr="00B6356E">
        <w:rPr>
          <w:rFonts w:ascii="Times New Roman" w:hAnsi="Times New Roman" w:cs="Times New Roman"/>
          <w:sz w:val="24"/>
          <w:szCs w:val="24"/>
        </w:rPr>
        <w:t xml:space="preserve">. Esta lei não desobriga a implantação e manutenção de outras sinalizações já previstas em lei. </w:t>
      </w:r>
    </w:p>
    <w:p w:rsidR="00B6356E" w:rsidRDefault="00B6356E" w:rsidP="00B6356E">
      <w:pPr>
        <w:tabs>
          <w:tab w:val="left" w:pos="1418"/>
          <w:tab w:val="left" w:pos="3686"/>
        </w:tabs>
        <w:ind w:right="-96"/>
        <w:jc w:val="both"/>
        <w:rPr>
          <w:rFonts w:ascii="Times New Roman" w:eastAsia="Batang" w:hAnsi="Times New Roman" w:cs="Times New Roman"/>
          <w:sz w:val="24"/>
          <w:szCs w:val="24"/>
        </w:rPr>
      </w:pPr>
    </w:p>
    <w:p w:rsidR="00B6356E" w:rsidRDefault="00B6356E" w:rsidP="00B6356E">
      <w:pPr>
        <w:tabs>
          <w:tab w:val="left" w:pos="1418"/>
          <w:tab w:val="left" w:pos="3686"/>
        </w:tabs>
        <w:ind w:right="-96"/>
        <w:jc w:val="both"/>
        <w:rPr>
          <w:rFonts w:ascii="Times New Roman" w:eastAsia="Batang" w:hAnsi="Times New Roman" w:cs="Times New Roman"/>
          <w:sz w:val="24"/>
          <w:szCs w:val="24"/>
        </w:rPr>
      </w:pPr>
      <w:r>
        <w:rPr>
          <w:rFonts w:ascii="Times New Roman" w:eastAsia="Batang" w:hAnsi="Times New Roman" w:cs="Times New Roman"/>
          <w:sz w:val="24"/>
          <w:szCs w:val="24"/>
        </w:rPr>
        <w:tab/>
      </w:r>
      <w:r w:rsidR="00246350" w:rsidRPr="00B6356E">
        <w:rPr>
          <w:rFonts w:ascii="Times New Roman" w:hAnsi="Times New Roman" w:cs="Times New Roman"/>
          <w:b/>
          <w:sz w:val="24"/>
          <w:szCs w:val="24"/>
        </w:rPr>
        <w:t>Art. 8</w:t>
      </w:r>
      <w:r w:rsidRPr="00B6356E">
        <w:rPr>
          <w:rFonts w:ascii="Times New Roman" w:hAnsi="Times New Roman" w:cs="Times New Roman"/>
          <w:b/>
          <w:sz w:val="24"/>
          <w:szCs w:val="24"/>
        </w:rPr>
        <w:t>º</w:t>
      </w:r>
      <w:r w:rsidR="00246350" w:rsidRPr="00B6356E">
        <w:rPr>
          <w:rFonts w:ascii="Times New Roman" w:hAnsi="Times New Roman" w:cs="Times New Roman"/>
          <w:sz w:val="24"/>
          <w:szCs w:val="24"/>
        </w:rPr>
        <w:t xml:space="preserve">. A fiscalização para o devido cumprimento da lei obedecerá à legislação vigente. </w:t>
      </w:r>
    </w:p>
    <w:p w:rsidR="00B6356E" w:rsidRDefault="00B6356E" w:rsidP="00B6356E">
      <w:pPr>
        <w:tabs>
          <w:tab w:val="left" w:pos="1418"/>
          <w:tab w:val="left" w:pos="3686"/>
        </w:tabs>
        <w:ind w:right="-96"/>
        <w:jc w:val="both"/>
        <w:rPr>
          <w:rFonts w:ascii="Times New Roman" w:eastAsia="Batang" w:hAnsi="Times New Roman" w:cs="Times New Roman"/>
          <w:sz w:val="24"/>
          <w:szCs w:val="24"/>
        </w:rPr>
      </w:pPr>
    </w:p>
    <w:p w:rsidR="001840BF" w:rsidRDefault="00B6356E" w:rsidP="001840BF">
      <w:pPr>
        <w:tabs>
          <w:tab w:val="left" w:pos="1418"/>
          <w:tab w:val="left" w:pos="3686"/>
        </w:tabs>
        <w:ind w:right="-96"/>
        <w:jc w:val="both"/>
        <w:rPr>
          <w:rStyle w:val="CorpodetextoChar"/>
          <w:rFonts w:eastAsia="Batang"/>
          <w:sz w:val="24"/>
          <w:szCs w:val="24"/>
          <w:lang w:eastAsia="en-US"/>
        </w:rPr>
      </w:pPr>
      <w:r>
        <w:rPr>
          <w:rFonts w:ascii="Times New Roman" w:eastAsia="Batang" w:hAnsi="Times New Roman" w:cs="Times New Roman"/>
          <w:sz w:val="24"/>
          <w:szCs w:val="24"/>
        </w:rPr>
        <w:tab/>
      </w:r>
      <w:r w:rsidR="00246350" w:rsidRPr="00B6356E">
        <w:rPr>
          <w:rFonts w:ascii="Times New Roman" w:hAnsi="Times New Roman" w:cs="Times New Roman"/>
          <w:b/>
          <w:sz w:val="24"/>
          <w:szCs w:val="24"/>
        </w:rPr>
        <w:t>Art. 9</w:t>
      </w:r>
      <w:r>
        <w:rPr>
          <w:rFonts w:ascii="Times New Roman" w:hAnsi="Times New Roman" w:cs="Times New Roman"/>
          <w:b/>
          <w:sz w:val="24"/>
          <w:szCs w:val="24"/>
        </w:rPr>
        <w:t>º</w:t>
      </w:r>
      <w:r w:rsidRPr="00B6356E">
        <w:rPr>
          <w:rFonts w:ascii="Times New Roman" w:hAnsi="Times New Roman" w:cs="Times New Roman"/>
          <w:sz w:val="24"/>
          <w:szCs w:val="24"/>
        </w:rPr>
        <w:t>.</w:t>
      </w:r>
      <w:r w:rsidR="00246350" w:rsidRPr="00B6356E">
        <w:rPr>
          <w:rFonts w:ascii="Times New Roman" w:hAnsi="Times New Roman" w:cs="Times New Roman"/>
          <w:sz w:val="24"/>
          <w:szCs w:val="24"/>
        </w:rPr>
        <w:t xml:space="preserve"> Esta Lei entrará em vigor em 180 (</w:t>
      </w:r>
      <w:r>
        <w:rPr>
          <w:rFonts w:ascii="Times New Roman" w:hAnsi="Times New Roman" w:cs="Times New Roman"/>
          <w:sz w:val="24"/>
          <w:szCs w:val="24"/>
        </w:rPr>
        <w:t>cento e o</w:t>
      </w:r>
      <w:r w:rsidR="00246350" w:rsidRPr="00B6356E">
        <w:rPr>
          <w:rFonts w:ascii="Times New Roman" w:hAnsi="Times New Roman" w:cs="Times New Roman"/>
          <w:sz w:val="24"/>
          <w:szCs w:val="24"/>
        </w:rPr>
        <w:t>itenta) dias após a sua publicação.</w:t>
      </w:r>
    </w:p>
    <w:p w:rsidR="001840BF" w:rsidRDefault="001840BF" w:rsidP="001840BF">
      <w:pPr>
        <w:tabs>
          <w:tab w:val="left" w:pos="1418"/>
          <w:tab w:val="left" w:pos="3686"/>
        </w:tabs>
        <w:ind w:right="-96"/>
        <w:jc w:val="both"/>
        <w:rPr>
          <w:rStyle w:val="CorpodetextoChar"/>
          <w:rFonts w:eastAsia="Batang"/>
          <w:sz w:val="24"/>
          <w:szCs w:val="24"/>
          <w:lang w:eastAsia="en-US"/>
        </w:rPr>
      </w:pPr>
    </w:p>
    <w:p w:rsidR="001840BF" w:rsidRPr="001840BF" w:rsidRDefault="001840BF" w:rsidP="001840BF">
      <w:pPr>
        <w:tabs>
          <w:tab w:val="left" w:pos="1418"/>
          <w:tab w:val="left" w:pos="3686"/>
        </w:tabs>
        <w:ind w:right="-96"/>
        <w:jc w:val="both"/>
        <w:rPr>
          <w:rFonts w:ascii="Times New Roman" w:eastAsia="Batang" w:hAnsi="Times New Roman" w:cs="Times New Roman"/>
          <w:sz w:val="24"/>
          <w:szCs w:val="24"/>
        </w:rPr>
      </w:pPr>
      <w:r>
        <w:rPr>
          <w:rStyle w:val="CorpodetextoChar"/>
          <w:rFonts w:eastAsia="Batang"/>
          <w:sz w:val="24"/>
          <w:szCs w:val="24"/>
          <w:lang w:eastAsia="en-US"/>
        </w:rPr>
        <w:tab/>
      </w:r>
      <w:r w:rsidRPr="001840BF">
        <w:rPr>
          <w:rFonts w:ascii="Times New Roman" w:hAnsi="Times New Roman" w:cs="Times New Roman"/>
          <w:snapToGrid w:val="0"/>
          <w:sz w:val="24"/>
          <w:szCs w:val="24"/>
        </w:rPr>
        <w:t xml:space="preserve">Sala de Sessões da Câmara Municipal, em </w:t>
      </w:r>
      <w:r>
        <w:rPr>
          <w:rFonts w:ascii="Times New Roman" w:hAnsi="Times New Roman" w:cs="Times New Roman"/>
          <w:snapToGrid w:val="0"/>
          <w:sz w:val="24"/>
          <w:szCs w:val="24"/>
        </w:rPr>
        <w:t>6</w:t>
      </w:r>
      <w:r w:rsidRPr="001840BF">
        <w:rPr>
          <w:rFonts w:ascii="Times New Roman" w:hAnsi="Times New Roman" w:cs="Times New Roman"/>
          <w:snapToGrid w:val="0"/>
          <w:sz w:val="24"/>
          <w:szCs w:val="24"/>
        </w:rPr>
        <w:t xml:space="preserve"> de </w:t>
      </w:r>
      <w:r>
        <w:rPr>
          <w:rFonts w:ascii="Times New Roman" w:hAnsi="Times New Roman" w:cs="Times New Roman"/>
          <w:snapToGrid w:val="0"/>
          <w:sz w:val="24"/>
          <w:szCs w:val="24"/>
        </w:rPr>
        <w:t>julho de 2015.</w:t>
      </w:r>
    </w:p>
    <w:p w:rsidR="001840BF" w:rsidRDefault="001840BF" w:rsidP="00246350">
      <w:pPr>
        <w:jc w:val="both"/>
        <w:rPr>
          <w:rStyle w:val="CorpodetextoChar"/>
          <w:rFonts w:eastAsiaTheme="majorEastAsia"/>
          <w:bCs/>
          <w:sz w:val="24"/>
          <w:szCs w:val="24"/>
          <w:u w:val="single"/>
        </w:rPr>
      </w:pPr>
    </w:p>
    <w:p w:rsidR="001840BF" w:rsidRDefault="001840BF" w:rsidP="001840BF">
      <w:pPr>
        <w:jc w:val="center"/>
        <w:rPr>
          <w:rStyle w:val="CorpodetextoChar"/>
          <w:rFonts w:eastAsiaTheme="majorEastAsia"/>
          <w:bCs/>
          <w:sz w:val="24"/>
          <w:szCs w:val="24"/>
          <w:u w:val="single"/>
        </w:rPr>
      </w:pPr>
    </w:p>
    <w:p w:rsidR="001840BF" w:rsidRDefault="001840BF" w:rsidP="001840BF">
      <w:pPr>
        <w:jc w:val="center"/>
        <w:rPr>
          <w:rFonts w:ascii="Times New Roman" w:hAnsi="Times New Roman" w:cs="Times New Roman"/>
          <w:b/>
          <w:sz w:val="24"/>
          <w:szCs w:val="24"/>
        </w:rPr>
      </w:pPr>
      <w:r w:rsidRPr="00B6356E">
        <w:rPr>
          <w:rFonts w:ascii="Times New Roman" w:hAnsi="Times New Roman" w:cs="Times New Roman"/>
          <w:b/>
          <w:sz w:val="24"/>
          <w:szCs w:val="24"/>
        </w:rPr>
        <w:t>VER</w:t>
      </w:r>
      <w:r>
        <w:rPr>
          <w:rFonts w:ascii="Times New Roman" w:hAnsi="Times New Roman" w:cs="Times New Roman"/>
          <w:b/>
          <w:sz w:val="24"/>
          <w:szCs w:val="24"/>
        </w:rPr>
        <w:t>. MILTON SOARES                       VER.</w:t>
      </w:r>
      <w:r w:rsidRPr="00B6356E">
        <w:rPr>
          <w:rFonts w:ascii="Times New Roman" w:hAnsi="Times New Roman" w:cs="Times New Roman"/>
          <w:b/>
          <w:sz w:val="24"/>
          <w:szCs w:val="24"/>
        </w:rPr>
        <w:t xml:space="preserve"> CLÓVIS DE PAULA</w:t>
      </w:r>
    </w:p>
    <w:p w:rsidR="001840BF" w:rsidRDefault="001840BF" w:rsidP="001840BF">
      <w:pPr>
        <w:jc w:val="center"/>
        <w:rPr>
          <w:rFonts w:ascii="Times New Roman" w:hAnsi="Times New Roman" w:cs="Times New Roman"/>
          <w:b/>
          <w:sz w:val="24"/>
          <w:szCs w:val="24"/>
        </w:rPr>
      </w:pPr>
    </w:p>
    <w:p w:rsidR="001840BF" w:rsidRDefault="001840BF" w:rsidP="001840BF">
      <w:pPr>
        <w:jc w:val="center"/>
        <w:rPr>
          <w:rFonts w:ascii="Times New Roman" w:hAnsi="Times New Roman" w:cs="Times New Roman"/>
          <w:b/>
          <w:sz w:val="24"/>
          <w:szCs w:val="24"/>
        </w:rPr>
      </w:pPr>
    </w:p>
    <w:p w:rsidR="001840BF" w:rsidRDefault="001840BF" w:rsidP="001840BF">
      <w:pPr>
        <w:jc w:val="center"/>
        <w:rPr>
          <w:rStyle w:val="CorpodetextoChar"/>
          <w:rFonts w:eastAsiaTheme="majorEastAsia"/>
          <w:bCs/>
          <w:sz w:val="24"/>
          <w:szCs w:val="24"/>
          <w:u w:val="single"/>
        </w:rPr>
      </w:pPr>
      <w:r>
        <w:rPr>
          <w:rFonts w:ascii="Times New Roman" w:hAnsi="Times New Roman" w:cs="Times New Roman"/>
          <w:b/>
          <w:sz w:val="24"/>
          <w:szCs w:val="24"/>
        </w:rPr>
        <w:t xml:space="preserve">VER. </w:t>
      </w:r>
      <w:r w:rsidRPr="00B6356E">
        <w:rPr>
          <w:rFonts w:ascii="Times New Roman" w:hAnsi="Times New Roman" w:cs="Times New Roman"/>
          <w:b/>
          <w:sz w:val="24"/>
          <w:szCs w:val="24"/>
        </w:rPr>
        <w:t xml:space="preserve"> SEBASTIÃO PEDRO DA VITÓRIA</w:t>
      </w:r>
    </w:p>
    <w:p w:rsidR="001840BF" w:rsidRDefault="001840BF" w:rsidP="001840BF">
      <w:pPr>
        <w:jc w:val="center"/>
        <w:rPr>
          <w:rStyle w:val="CorpodetextoChar"/>
          <w:rFonts w:eastAsiaTheme="majorEastAsia"/>
          <w:bCs/>
          <w:sz w:val="24"/>
          <w:szCs w:val="24"/>
          <w:u w:val="single"/>
        </w:rPr>
      </w:pPr>
    </w:p>
    <w:p w:rsidR="001840BF" w:rsidRPr="00B6356E" w:rsidRDefault="001840BF" w:rsidP="00246350">
      <w:pPr>
        <w:jc w:val="both"/>
        <w:rPr>
          <w:rStyle w:val="CorpodetextoChar"/>
          <w:rFonts w:eastAsiaTheme="majorEastAsia"/>
          <w:bCs/>
          <w:sz w:val="24"/>
          <w:szCs w:val="24"/>
          <w:u w:val="single"/>
        </w:rPr>
      </w:pPr>
    </w:p>
    <w:p w:rsidR="00246350" w:rsidRPr="00B6356E" w:rsidRDefault="00246350" w:rsidP="00246350">
      <w:pPr>
        <w:jc w:val="both"/>
        <w:rPr>
          <w:rStyle w:val="CorpodetextoChar"/>
          <w:rFonts w:eastAsiaTheme="majorEastAsia"/>
          <w:b/>
          <w:bCs/>
          <w:sz w:val="24"/>
          <w:szCs w:val="24"/>
          <w:u w:val="single"/>
        </w:rPr>
      </w:pPr>
      <w:r w:rsidRPr="00B6356E">
        <w:rPr>
          <w:rStyle w:val="CorpodetextoChar"/>
          <w:rFonts w:eastAsiaTheme="majorEastAsia"/>
          <w:bCs/>
          <w:sz w:val="24"/>
          <w:szCs w:val="24"/>
        </w:rPr>
        <w:tab/>
      </w:r>
      <w:r w:rsidRPr="00B6356E">
        <w:rPr>
          <w:rStyle w:val="CorpodetextoChar"/>
          <w:rFonts w:eastAsiaTheme="majorEastAsia"/>
          <w:bCs/>
          <w:sz w:val="24"/>
          <w:szCs w:val="24"/>
        </w:rPr>
        <w:tab/>
      </w:r>
      <w:r w:rsidRPr="00B6356E">
        <w:rPr>
          <w:rStyle w:val="CorpodetextoChar"/>
          <w:rFonts w:eastAsiaTheme="majorEastAsia"/>
          <w:bCs/>
          <w:sz w:val="24"/>
          <w:szCs w:val="24"/>
        </w:rPr>
        <w:tab/>
      </w:r>
      <w:r w:rsidRPr="00B6356E">
        <w:rPr>
          <w:rStyle w:val="CorpodetextoChar"/>
          <w:rFonts w:eastAsiaTheme="majorEastAsia"/>
          <w:bCs/>
          <w:sz w:val="24"/>
          <w:szCs w:val="24"/>
        </w:rPr>
        <w:tab/>
      </w:r>
      <w:r w:rsidRPr="00B6356E">
        <w:rPr>
          <w:rStyle w:val="CorpodetextoChar"/>
          <w:rFonts w:eastAsiaTheme="majorEastAsia"/>
          <w:bCs/>
          <w:sz w:val="24"/>
          <w:szCs w:val="24"/>
        </w:rPr>
        <w:tab/>
      </w:r>
      <w:r w:rsidRPr="00B6356E">
        <w:rPr>
          <w:rStyle w:val="CorpodetextoChar"/>
          <w:rFonts w:eastAsiaTheme="majorEastAsia"/>
          <w:b/>
          <w:bCs/>
          <w:sz w:val="24"/>
          <w:szCs w:val="24"/>
          <w:u w:val="single"/>
        </w:rPr>
        <w:t>JUSTIFICATIVA</w:t>
      </w:r>
    </w:p>
    <w:p w:rsidR="00246350" w:rsidRDefault="00246350" w:rsidP="00246350">
      <w:pPr>
        <w:jc w:val="both"/>
        <w:rPr>
          <w:rFonts w:ascii="Times New Roman" w:hAnsi="Times New Roman" w:cs="Times New Roman"/>
          <w:sz w:val="24"/>
          <w:szCs w:val="24"/>
        </w:rPr>
      </w:pPr>
      <w:r w:rsidRPr="00B6356E">
        <w:rPr>
          <w:rFonts w:ascii="Times New Roman" w:hAnsi="Times New Roman" w:cs="Times New Roman"/>
          <w:sz w:val="24"/>
          <w:szCs w:val="24"/>
        </w:rPr>
        <w:t xml:space="preserve">                                               </w:t>
      </w:r>
    </w:p>
    <w:p w:rsidR="001840BF" w:rsidRPr="00B6356E" w:rsidRDefault="001840BF" w:rsidP="00246350">
      <w:pPr>
        <w:jc w:val="both"/>
        <w:rPr>
          <w:rFonts w:ascii="Times New Roman" w:hAnsi="Times New Roman" w:cs="Times New Roman"/>
          <w:sz w:val="24"/>
          <w:szCs w:val="24"/>
        </w:rPr>
      </w:pPr>
    </w:p>
    <w:p w:rsidR="00246350" w:rsidRPr="00B6356E" w:rsidRDefault="00246350" w:rsidP="001840BF">
      <w:pPr>
        <w:ind w:right="-96" w:firstLine="3600"/>
        <w:jc w:val="both"/>
        <w:rPr>
          <w:rFonts w:ascii="Times New Roman" w:hAnsi="Times New Roman" w:cs="Times New Roman"/>
          <w:sz w:val="24"/>
          <w:szCs w:val="24"/>
        </w:rPr>
      </w:pPr>
      <w:r w:rsidRPr="00B6356E">
        <w:rPr>
          <w:rFonts w:ascii="Times New Roman" w:hAnsi="Times New Roman" w:cs="Times New Roman"/>
          <w:sz w:val="24"/>
          <w:szCs w:val="24"/>
        </w:rPr>
        <w:t xml:space="preserve">Trata a presente propositura de projeto de lei que dispõe sobre a responsabilidade dos estabelecimentos que guardam veículos, dos residenciais e condomínios com capacidade para dez vagas ou superior e da outras providências. A iniciativa da matéria se insere dentre aquelas do tipo geral ou concorrente, nos termos da legislação vigente. </w:t>
      </w:r>
    </w:p>
    <w:p w:rsidR="00246350" w:rsidRPr="00B6356E" w:rsidRDefault="00246350" w:rsidP="001840BF">
      <w:pPr>
        <w:ind w:right="-96" w:firstLine="3600"/>
        <w:jc w:val="both"/>
        <w:rPr>
          <w:rFonts w:ascii="Times New Roman" w:hAnsi="Times New Roman" w:cs="Times New Roman"/>
          <w:sz w:val="24"/>
          <w:szCs w:val="24"/>
        </w:rPr>
      </w:pPr>
      <w:r w:rsidRPr="00B6356E">
        <w:rPr>
          <w:rFonts w:ascii="Times New Roman" w:hAnsi="Times New Roman" w:cs="Times New Roman"/>
          <w:sz w:val="24"/>
          <w:szCs w:val="24"/>
        </w:rPr>
        <w:t xml:space="preserve">Este projeto de lei cria normas disciplinares para a operação e manutenção de espaços para estacionamento de veículos automotores na cidade, os quais apresentam riscos de acidente às pessoas que circulam pelas calçadas. Os riscos de acidentes defronte aos acessos dos estacionamentos são constantes. Neste sentido deveremos despender todos os esforços necessários para tornar o trânsito de nossa cidade mais humano e ordenado, num processo que faça com que todos àqueles que de uma forma ou de outra se beneficiem da exploração econômica do crescimento do número de cidadãos que circulam pela cidade. </w:t>
      </w:r>
    </w:p>
    <w:p w:rsidR="00246350" w:rsidRPr="00B6356E" w:rsidRDefault="00246350" w:rsidP="001840BF">
      <w:pPr>
        <w:ind w:right="-96" w:firstLine="3600"/>
        <w:jc w:val="both"/>
        <w:rPr>
          <w:rFonts w:ascii="Times New Roman" w:hAnsi="Times New Roman" w:cs="Times New Roman"/>
          <w:sz w:val="24"/>
          <w:szCs w:val="24"/>
        </w:rPr>
      </w:pPr>
      <w:r w:rsidRPr="00B6356E">
        <w:rPr>
          <w:rFonts w:ascii="Times New Roman" w:hAnsi="Times New Roman" w:cs="Times New Roman"/>
          <w:sz w:val="24"/>
          <w:szCs w:val="24"/>
        </w:rPr>
        <w:t>Foi constatado que em várias saídas de estacionamentos não existe nenhuma das sinalizações mencionadas neste projeto de lei, portanto se faz necessário que os proprietários destes estacionamentos assumam este compromisso de responsabilidade social pela vida.</w:t>
      </w:r>
    </w:p>
    <w:p w:rsidR="00246350" w:rsidRPr="00B6356E" w:rsidRDefault="00246350" w:rsidP="001840BF">
      <w:pPr>
        <w:ind w:right="-96"/>
        <w:jc w:val="both"/>
        <w:rPr>
          <w:rFonts w:ascii="Times New Roman" w:hAnsi="Times New Roman" w:cs="Times New Roman"/>
          <w:sz w:val="24"/>
          <w:szCs w:val="24"/>
        </w:rPr>
      </w:pPr>
    </w:p>
    <w:sectPr w:rsidR="00246350" w:rsidRPr="00B6356E" w:rsidSect="001840BF">
      <w:footerReference w:type="default" r:id="rId8"/>
      <w:pgSz w:w="11907" w:h="16840" w:code="9"/>
      <w:pgMar w:top="1021" w:right="1701" w:bottom="567" w:left="1797" w:header="284" w:footer="284"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10F" w:rsidRDefault="00CD110F" w:rsidP="00141FB6">
      <w:r>
        <w:separator/>
      </w:r>
    </w:p>
  </w:endnote>
  <w:endnote w:type="continuationSeparator" w:id="1">
    <w:p w:rsidR="00CD110F" w:rsidRDefault="00CD110F" w:rsidP="00141FB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B6356E" w:rsidRPr="00CC63FD" w:rsidTr="003F0491">
      <w:tc>
        <w:tcPr>
          <w:tcW w:w="8505" w:type="dxa"/>
          <w:shd w:val="clear" w:color="auto" w:fill="auto"/>
        </w:tcPr>
        <w:p w:rsidR="00B6356E" w:rsidRPr="00CC63FD" w:rsidRDefault="00B6356E" w:rsidP="003F0491"/>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Protocolado na Secretaria Geral da Câmara em ___/___/2015     _____________________________</w:t>
          </w:r>
        </w:p>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 xml:space="preserve">                                                                                                                           Protocolo</w:t>
          </w:r>
        </w:p>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Apreciado em 1ª  discussão:  ___/___/2015       Resultado: ___________________________________</w:t>
          </w:r>
        </w:p>
        <w:p w:rsidR="00B6356E" w:rsidRPr="00C60F14" w:rsidRDefault="00B6356E" w:rsidP="003F0491">
          <w:pPr>
            <w:rPr>
              <w:rFonts w:ascii="Times New Roman" w:hAnsi="Times New Roman" w:cs="Times New Roman"/>
              <w:sz w:val="20"/>
              <w:szCs w:val="20"/>
            </w:rPr>
          </w:pPr>
        </w:p>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Apreciado em 2ª  discussão:  ___/___/2015       Resultado: ___________________________________</w:t>
          </w:r>
        </w:p>
        <w:p w:rsidR="00B6356E" w:rsidRPr="00C60F14" w:rsidRDefault="00B6356E" w:rsidP="003F0491">
          <w:pPr>
            <w:rPr>
              <w:rFonts w:ascii="Times New Roman" w:hAnsi="Times New Roman" w:cs="Times New Roman"/>
              <w:sz w:val="20"/>
              <w:szCs w:val="20"/>
            </w:rPr>
          </w:pPr>
        </w:p>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Apreciado em discussão única:  ___/___/2015  Resultado: ___________________________________</w:t>
          </w:r>
        </w:p>
        <w:p w:rsidR="00B6356E" w:rsidRPr="00C60F14" w:rsidRDefault="00B6356E" w:rsidP="003F0491">
          <w:pPr>
            <w:rPr>
              <w:rFonts w:ascii="Times New Roman" w:hAnsi="Times New Roman" w:cs="Times New Roman"/>
              <w:sz w:val="20"/>
              <w:szCs w:val="20"/>
            </w:rPr>
          </w:pPr>
        </w:p>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Presidente ____________________________________</w:t>
          </w:r>
        </w:p>
        <w:p w:rsidR="00B6356E" w:rsidRPr="00C60F14" w:rsidRDefault="00B6356E" w:rsidP="003F0491">
          <w:pPr>
            <w:rPr>
              <w:rFonts w:ascii="Times New Roman" w:hAnsi="Times New Roman" w:cs="Times New Roman"/>
              <w:sz w:val="20"/>
              <w:szCs w:val="20"/>
            </w:rPr>
          </w:pPr>
          <w:r w:rsidRPr="00C60F14">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60F14">
            <w:rPr>
              <w:rFonts w:ascii="Times New Roman" w:hAnsi="Times New Roman" w:cs="Times New Roman"/>
              <w:sz w:val="20"/>
              <w:szCs w:val="20"/>
            </w:rPr>
            <w:t>Ver. Dionardo Mendes da Conceição</w:t>
          </w:r>
        </w:p>
        <w:p w:rsidR="00B6356E" w:rsidRPr="00CC63FD" w:rsidRDefault="00B6356E" w:rsidP="003F0491"/>
      </w:tc>
    </w:tr>
  </w:tbl>
  <w:p w:rsidR="00B6356E" w:rsidRPr="003D3AA8" w:rsidRDefault="00B6356E" w:rsidP="00B6356E">
    <w:pPr>
      <w:pStyle w:val="Rodap"/>
    </w:pPr>
  </w:p>
  <w:p w:rsidR="00B6356E" w:rsidRPr="003D3AA8" w:rsidRDefault="00B6356E" w:rsidP="00B6356E">
    <w:pPr>
      <w:pStyle w:val="Rodap"/>
    </w:pPr>
  </w:p>
  <w:p w:rsidR="00B6356E" w:rsidRPr="003D3AA8" w:rsidRDefault="00B6356E" w:rsidP="00B6356E">
    <w:pPr>
      <w:pStyle w:val="Rodap"/>
    </w:pPr>
  </w:p>
  <w:p w:rsidR="004A45C3" w:rsidRPr="003D3AA8" w:rsidRDefault="00CD110F" w:rsidP="004A45C3">
    <w:pPr>
      <w:pStyle w:val="Rodap"/>
    </w:pPr>
  </w:p>
  <w:p w:rsidR="009F196D" w:rsidRPr="003D3AA8" w:rsidRDefault="00CD110F"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10F" w:rsidRDefault="00CD110F" w:rsidP="00141FB6">
      <w:r>
        <w:separator/>
      </w:r>
    </w:p>
  </w:footnote>
  <w:footnote w:type="continuationSeparator" w:id="1">
    <w:p w:rsidR="00CD110F" w:rsidRDefault="00CD110F" w:rsidP="00141FB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17F62"/>
    <w:rsid w:val="00141FB6"/>
    <w:rsid w:val="001840BF"/>
    <w:rsid w:val="001915A3"/>
    <w:rsid w:val="00217F62"/>
    <w:rsid w:val="00246350"/>
    <w:rsid w:val="003E1050"/>
    <w:rsid w:val="005A4BF6"/>
    <w:rsid w:val="00A906D8"/>
    <w:rsid w:val="00AB5A74"/>
    <w:rsid w:val="00B6356E"/>
    <w:rsid w:val="00BD20C6"/>
    <w:rsid w:val="00CD110F"/>
    <w:rsid w:val="00DA03E5"/>
    <w:rsid w:val="00EF6D46"/>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141FB6"/>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141FB6"/>
    <w:rPr>
      <w:rFonts w:ascii="Times New Roman" w:eastAsia="Times New Roman" w:hAnsi="Times New Roman" w:cs="Times New Roman"/>
      <w:sz w:val="20"/>
      <w:szCs w:val="20"/>
      <w:lang w:eastAsia="pt-BR"/>
    </w:rPr>
  </w:style>
  <w:style w:type="paragraph" w:styleId="SemEspaamento">
    <w:name w:val="No Spacing"/>
    <w:uiPriority w:val="1"/>
    <w:qFormat/>
    <w:rsid w:val="00141FB6"/>
    <w:rPr>
      <w:rFonts w:ascii="Calibri" w:eastAsia="Calibri" w:hAnsi="Calibri" w:cs="Times New Roman"/>
    </w:rPr>
  </w:style>
  <w:style w:type="paragraph" w:styleId="Cabealho">
    <w:name w:val="header"/>
    <w:basedOn w:val="Normal"/>
    <w:link w:val="CabealhoChar"/>
    <w:uiPriority w:val="99"/>
    <w:semiHidden/>
    <w:unhideWhenUsed/>
    <w:rsid w:val="00141FB6"/>
    <w:pPr>
      <w:tabs>
        <w:tab w:val="center" w:pos="4252"/>
        <w:tab w:val="right" w:pos="8504"/>
      </w:tabs>
    </w:pPr>
  </w:style>
  <w:style w:type="character" w:customStyle="1" w:styleId="CabealhoChar">
    <w:name w:val="Cabeçalho Char"/>
    <w:basedOn w:val="Fontepargpadro"/>
    <w:link w:val="Cabealho"/>
    <w:uiPriority w:val="99"/>
    <w:semiHidden/>
    <w:rsid w:val="00141FB6"/>
  </w:style>
  <w:style w:type="paragraph" w:styleId="Corpodetexto">
    <w:name w:val="Body Text"/>
    <w:basedOn w:val="Normal"/>
    <w:link w:val="CorpodetextoChar"/>
    <w:rsid w:val="00246350"/>
    <w:pPr>
      <w:spacing w:after="120"/>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246350"/>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747</Words>
  <Characters>4034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cp:lastPrinted>2015-07-06T14:42:00Z</cp:lastPrinted>
  <dcterms:created xsi:type="dcterms:W3CDTF">2015-07-06T14:42:00Z</dcterms:created>
  <dcterms:modified xsi:type="dcterms:W3CDTF">2015-07-06T14:42:00Z</dcterms:modified>
</cp:coreProperties>
</file>