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A528ED">
        <w:rPr>
          <w:rFonts w:ascii="Arial" w:hAnsi="Arial" w:cs="Arial"/>
        </w:rPr>
        <w:t>02</w:t>
      </w:r>
      <w:r w:rsidRPr="00036ACF">
        <w:rPr>
          <w:rFonts w:ascii="Arial" w:hAnsi="Arial" w:cs="Arial"/>
        </w:rPr>
        <w:t xml:space="preserve"> de </w:t>
      </w:r>
      <w:r w:rsidR="00A528ED">
        <w:rPr>
          <w:rFonts w:ascii="Arial" w:hAnsi="Arial" w:cs="Arial"/>
        </w:rPr>
        <w:t>junho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5E2E25" w:rsidRPr="005E2E25" w:rsidRDefault="00FC19C7" w:rsidP="005E2E25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5E2E25">
        <w:rPr>
          <w:rFonts w:ascii="Arial" w:hAnsi="Arial" w:cs="Arial"/>
        </w:rPr>
        <w:t>“</w:t>
      </w:r>
      <w:r w:rsidR="005E2E25" w:rsidRPr="005E2E25">
        <w:rPr>
          <w:rFonts w:ascii="Arial" w:hAnsi="Arial" w:cs="Arial"/>
          <w:b/>
        </w:rPr>
        <w:t>Institui e Regulamenta o Processo de Transição Entre Governos”</w:t>
      </w:r>
    </w:p>
    <w:p w:rsidR="005E2E25" w:rsidRDefault="005E2E25" w:rsidP="005E2E25">
      <w:pPr>
        <w:spacing w:after="120" w:line="360" w:lineRule="auto"/>
        <w:jc w:val="both"/>
        <w:rPr>
          <w:rFonts w:ascii="Arial" w:hAnsi="Arial" w:cs="Arial"/>
        </w:rPr>
      </w:pPr>
    </w:p>
    <w:p w:rsidR="005E2E25" w:rsidRPr="00E1104C" w:rsidRDefault="005E2E25" w:rsidP="005E2E25">
      <w:pPr>
        <w:spacing w:after="120" w:line="360" w:lineRule="auto"/>
        <w:ind w:firstLine="2268"/>
        <w:jc w:val="both"/>
        <w:rPr>
          <w:rFonts w:ascii="Arial" w:hAnsi="Arial" w:cs="Arial"/>
        </w:rPr>
      </w:pPr>
      <w:r w:rsidRPr="00E1104C">
        <w:rPr>
          <w:rFonts w:ascii="Arial" w:hAnsi="Arial" w:cs="Arial"/>
        </w:rPr>
        <w:t>Uma das principais consequências da</w:t>
      </w:r>
      <w:r>
        <w:rPr>
          <w:rFonts w:ascii="Arial" w:hAnsi="Arial" w:cs="Arial"/>
        </w:rPr>
        <w:t xml:space="preserve"> democracia é a possibilidade de</w:t>
      </w:r>
      <w:r w:rsidRPr="00E1104C">
        <w:rPr>
          <w:rFonts w:ascii="Arial" w:hAnsi="Arial" w:cs="Arial"/>
        </w:rPr>
        <w:t xml:space="preserve"> alternância no poder. Trata-se, com certeza, de mecanismo dos mais saudáveis, que decorre do princípio da supremacia da vontade popular. Entretanto, é comum se constatar, após as eleições municipais, o Prefeito eleito enfrentar grandes dificuldades no processo de transição para a nova administração, o que coloca em risco o princípio da continuidade administrativa. Impõe-se, então, deixar claro que permitir uma transição tranquila é obrigação do Governo, independentemente dos partidos políticos nele representados.</w:t>
      </w:r>
    </w:p>
    <w:p w:rsidR="005E2E25" w:rsidRDefault="005E2E25" w:rsidP="005E2E25">
      <w:pPr>
        <w:spacing w:after="120" w:line="360" w:lineRule="auto"/>
        <w:jc w:val="both"/>
        <w:rPr>
          <w:rFonts w:ascii="Arial" w:hAnsi="Arial" w:cs="Arial"/>
        </w:rPr>
      </w:pP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  <w:t>A proposta ora apresentada permitirá que se coloque como obrigação do Governo cujo mandato se encerra dar ao seu futuro Chefe as condições mínimas para que a transição entre as administrações tenha lugar da forma mais adequada possível. A proposição trata de um tema de importância inquestionável na seara do aperfeiçoamento das instituições democráticas do país. A continuidade administrativa constitui, efetivamente, um princípio fundamental na concepção moderna de Estado Democrático de Direito. O Estado deve sempre dirigir sua atuação no sentido de assegurar a manutenção dos direitos dos cidadãos, o que implica a prestação de serviços à sociedade, em caráter constante, sem interrupções.</w:t>
      </w:r>
    </w:p>
    <w:p w:rsidR="005E2E25" w:rsidRDefault="005E2E25" w:rsidP="005E2E25">
      <w:pPr>
        <w:spacing w:after="120" w:line="360" w:lineRule="auto"/>
        <w:jc w:val="both"/>
        <w:rPr>
          <w:rFonts w:ascii="Arial" w:hAnsi="Arial" w:cs="Arial"/>
        </w:rPr>
      </w:pP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</w:r>
      <w:r w:rsidRPr="00E1104C">
        <w:rPr>
          <w:rFonts w:ascii="Arial" w:hAnsi="Arial" w:cs="Arial"/>
        </w:rPr>
        <w:tab/>
        <w:t xml:space="preserve"> Nesse sentido, a proposta ora apresentada tem grande valor, ao facilitar a transição entre governos, de modo que o processo </w:t>
      </w:r>
      <w:r w:rsidRPr="00E1104C">
        <w:rPr>
          <w:rFonts w:ascii="Arial" w:hAnsi="Arial" w:cs="Arial"/>
        </w:rPr>
        <w:lastRenderedPageBreak/>
        <w:t xml:space="preserve">se dê de forma tranquila, sem prejuízos ao interesse público. De fato, o acesso às informações relativas às contas públicas, programas e projetos do Poder Público é indispensável para que o integrante do governo recém-eleito tenha condições de inteirar-se da situação em que efetivamente se encontra o ente político que irá administrar. Coibir desmandos, zelar pela continuidade das ações de governo e permitir uma relação transparente e democrática entre o governo que se encerra e o que se inicia, além de proporcionar um diagnóstico da realidade administrativa, são justificativas do projeto de lei ora apresentado. </w:t>
      </w:r>
    </w:p>
    <w:p w:rsidR="005E2E25" w:rsidRPr="00E1104C" w:rsidRDefault="005E2E25" w:rsidP="005E2E25">
      <w:pPr>
        <w:spacing w:after="120" w:line="360" w:lineRule="auto"/>
        <w:ind w:firstLine="2268"/>
        <w:jc w:val="both"/>
        <w:rPr>
          <w:rFonts w:ascii="Arial" w:hAnsi="Arial" w:cs="Arial"/>
        </w:rPr>
      </w:pPr>
      <w:r w:rsidRPr="00E1104C">
        <w:rPr>
          <w:rFonts w:ascii="Arial" w:hAnsi="Arial" w:cs="Arial"/>
        </w:rPr>
        <w:t xml:space="preserve">O momento </w:t>
      </w:r>
      <w:r>
        <w:rPr>
          <w:rFonts w:ascii="Arial" w:hAnsi="Arial" w:cs="Arial"/>
        </w:rPr>
        <w:t>de transição é delicado para o M</w:t>
      </w:r>
      <w:r w:rsidRPr="00E1104C">
        <w:rPr>
          <w:rFonts w:ascii="Arial" w:hAnsi="Arial" w:cs="Arial"/>
        </w:rPr>
        <w:t>unicípio e exige responsabilidade, tanto daquele que deixa a administração, quanto daquele que chega. Em primeiro lugar sempre deve estar o interesse público, sendo certo que é na passagem ordenada do Poder, sem perda do ritmo, da continuidade e do comando da ação governamental, que administradores demonstram seu compromisso com a sociedade. A transição de governo exige inúmeras iniciativas e providências, mas é, sobretudo, um valor da democracia, que deve ser reforçado, melhor conhecido e trabalhado. São estas as razões pela</w:t>
      </w:r>
      <w:r>
        <w:rPr>
          <w:rFonts w:ascii="Arial" w:hAnsi="Arial" w:cs="Arial"/>
        </w:rPr>
        <w:t>s quais considero</w:t>
      </w:r>
      <w:r w:rsidRPr="00E1104C">
        <w:rPr>
          <w:rFonts w:ascii="Arial" w:hAnsi="Arial" w:cs="Arial"/>
        </w:rPr>
        <w:t xml:space="preserve"> de elevada importância a participação dos nobres parlamentares no esforço para a aprovação da presente proposição.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5E2E25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5E2E25">
        <w:rPr>
          <w:rFonts w:ascii="Arial" w:hAnsi="Arial" w:cs="Arial"/>
          <w:b/>
        </w:rPr>
        <w:t>PSDB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5E2E25" w:rsidRDefault="005E2E25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FC19C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5E2E25" w:rsidRPr="005E2E25" w:rsidRDefault="005E2E25" w:rsidP="005E2E25">
      <w:pPr>
        <w:pStyle w:val="Corpodetexto"/>
        <w:spacing w:before="100" w:beforeAutospacing="1" w:line="360" w:lineRule="auto"/>
        <w:ind w:left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“INSTITUI E REGULAMENTA O PROCESSO DE TRANSIÇÃO ENTRE GOVERNOS”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left="2268"/>
        <w:jc w:val="center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CAPÍTULO 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 DA TRANSIÇÃO MUNICIPAL E SUA FINALIDADE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 Seção 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 Dos Conceitos Fundamentais 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Art. 1º - Transição administrativa é o processo que objetiva propiciar condições para que o candidato eleito para o cargo de Chefe do Poder Executivo possa receber de seu antecessor todos os dados e informações necessários à implementação do programa do novo governo, desde a data de sua posse. 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Art. 2º - Ao candidato eleito para o cargo de Prefeito do Município de</w:t>
      </w:r>
      <w:r>
        <w:rPr>
          <w:rFonts w:ascii="Arial" w:hAnsi="Arial" w:cs="Arial"/>
        </w:rPr>
        <w:t xml:space="preserve"> Estância Velha - RS</w:t>
      </w:r>
      <w:r w:rsidRPr="005E2E25">
        <w:rPr>
          <w:rFonts w:ascii="Arial" w:hAnsi="Arial" w:cs="Arial"/>
        </w:rPr>
        <w:t>, é facultado manifestar seu interesse na constituição de Equipe de Transição Municipal, observado o disposto nesta Lei.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Seção II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Da Equipe de Transição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3º - Na constituição de Equipe de Transição, o titular do cargo objeto da transição e o candidato proclamado vencedor indicarão membros para a composição de uma Equipe paritária no prazo de 72 (setenta e duas) horas da proclamação do resultado da eleição. 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lastRenderedPageBreak/>
        <w:t>Art. 4º - A Equipe de Transição de que trata o art. 3º</w:t>
      </w:r>
      <w:r>
        <w:rPr>
          <w:rFonts w:ascii="Arial" w:hAnsi="Arial" w:cs="Arial"/>
        </w:rPr>
        <w:t>,</w:t>
      </w:r>
      <w:r w:rsidRPr="005E2E25">
        <w:rPr>
          <w:rFonts w:ascii="Arial" w:hAnsi="Arial" w:cs="Arial"/>
        </w:rPr>
        <w:t xml:space="preserve"> tem por objetivo inteirar-se do funcionamento dos órgãos e entidades que c</w:t>
      </w:r>
      <w:r>
        <w:rPr>
          <w:rFonts w:ascii="Arial" w:hAnsi="Arial" w:cs="Arial"/>
        </w:rPr>
        <w:t>ompõem a Administração Pública M</w:t>
      </w:r>
      <w:r w:rsidRPr="005E2E25">
        <w:rPr>
          <w:rFonts w:ascii="Arial" w:hAnsi="Arial" w:cs="Arial"/>
        </w:rPr>
        <w:t xml:space="preserve">unicipal e preparar os atos de iniciativa do novo Prefeito, a serem editados imediatamente após a posse. 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Art. 5º - A equipe de transição administrativa obedecerá aos seguintes critérios: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 - Funcionamento colegiado; </w:t>
      </w:r>
    </w:p>
    <w:p w:rsid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II - Caráter não oneroso. 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Parágrafo único. A relação dos integrantes da equipe de transição, bem como, dos seus coordenadores, </w:t>
      </w:r>
      <w:r w:rsidR="008B799C">
        <w:rPr>
          <w:rFonts w:ascii="Arial" w:hAnsi="Arial" w:cs="Arial"/>
        </w:rPr>
        <w:t>deverá ser publicada no Mural da</w:t>
      </w:r>
      <w:r w:rsidRPr="005E2E25">
        <w:rPr>
          <w:rFonts w:ascii="Arial" w:hAnsi="Arial" w:cs="Arial"/>
        </w:rPr>
        <w:t xml:space="preserve"> Prefeitura</w:t>
      </w:r>
      <w:r w:rsidR="008B799C">
        <w:rPr>
          <w:rFonts w:ascii="Arial" w:hAnsi="Arial" w:cs="Arial"/>
        </w:rPr>
        <w:t xml:space="preserve"> de Estância Velha</w:t>
      </w:r>
      <w:r w:rsidRPr="005E2E25">
        <w:rPr>
          <w:rFonts w:ascii="Arial" w:hAnsi="Arial" w:cs="Arial"/>
        </w:rPr>
        <w:t xml:space="preserve"> e </w:t>
      </w:r>
      <w:r>
        <w:rPr>
          <w:rFonts w:ascii="Arial" w:hAnsi="Arial" w:cs="Arial"/>
        </w:rPr>
        <w:t>no seu site oficial</w:t>
      </w:r>
      <w:r w:rsidRPr="005E2E25">
        <w:rPr>
          <w:rFonts w:ascii="Arial" w:hAnsi="Arial" w:cs="Arial"/>
        </w:rPr>
        <w:t>.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6º - À Equipe de Transição cabe: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 - obter informações sobre: a) o funcionamento dos órgãos e entidades da Administração Direta e Indireta do Município; b) as contas públicas; c) os programas e projetos do Município; d) peças orçamentárias (LDO, LOA, PPA);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II - elaborar os atos de competência do novo Prefeito do Município, a serem editados imediatamente após sua posse. </w:t>
      </w:r>
    </w:p>
    <w:p w:rsidR="008B799C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Art. 7º - A Equipe de Transição poderá convidar para participar de suas reuniões pessoas que, por seus conhecimentos e experiência profissional, possam contribuir para a discussão das matérias em exame. </w:t>
      </w:r>
    </w:p>
    <w:p w:rsidR="005E2E25" w:rsidRPr="005E2E25" w:rsidRDefault="005E2E25" w:rsidP="005E2E25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Art. 8º - A Equipe de Transição contará, ainda, com Quadro constituído de:</w:t>
      </w:r>
    </w:p>
    <w:p w:rsidR="005E2E25" w:rsidRPr="005E2E25" w:rsidRDefault="005E2E25" w:rsidP="008B799C">
      <w:pPr>
        <w:pStyle w:val="Corpodetexto"/>
        <w:numPr>
          <w:ilvl w:val="0"/>
          <w:numId w:val="13"/>
        </w:numPr>
        <w:spacing w:before="100" w:beforeAutospacing="1" w:line="360" w:lineRule="auto"/>
        <w:ind w:firstLine="1503"/>
        <w:rPr>
          <w:rFonts w:ascii="Arial" w:hAnsi="Arial" w:cs="Arial"/>
        </w:rPr>
      </w:pPr>
      <w:r w:rsidRPr="005E2E25">
        <w:rPr>
          <w:rFonts w:ascii="Arial" w:hAnsi="Arial" w:cs="Arial"/>
        </w:rPr>
        <w:lastRenderedPageBreak/>
        <w:t xml:space="preserve">Profissionais e auxiliares indicados pelo responsável pelo Coordenador-Geral dos trabalhos da Equipe; </w:t>
      </w:r>
    </w:p>
    <w:p w:rsidR="005E2E25" w:rsidRPr="005E2E25" w:rsidRDefault="005E2E25" w:rsidP="008B799C">
      <w:pPr>
        <w:pStyle w:val="Corpodetexto"/>
        <w:numPr>
          <w:ilvl w:val="0"/>
          <w:numId w:val="13"/>
        </w:numPr>
        <w:spacing w:before="100" w:beforeAutospacing="1" w:line="360" w:lineRule="auto"/>
        <w:ind w:firstLine="1503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Servidores que para esse fim vierem a ser designados pelo novo Prefeito Municipal.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 Seção III 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Do Coordenador-Geral </w:t>
      </w:r>
    </w:p>
    <w:p w:rsidR="005E2E25" w:rsidRPr="005E2E25" w:rsidRDefault="005E2E25" w:rsidP="008B799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Art. 9º - O candidato eleito deverá indicar, individualmente, um Coordenador-Geral, que será responsável pela organização, coordenação, supervisão, distribuição e divulgação dos trabalhos.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Parágrafo único. Ao Coordenador-Geral competirá requisitar as informações dos órgãos e enti</w:t>
      </w:r>
      <w:r w:rsidR="00FF18A4">
        <w:rPr>
          <w:rFonts w:ascii="Arial" w:hAnsi="Arial" w:cs="Arial"/>
        </w:rPr>
        <w:t>dades da Administração Pública M</w:t>
      </w:r>
      <w:r w:rsidRPr="005E2E25">
        <w:rPr>
          <w:rFonts w:ascii="Arial" w:hAnsi="Arial" w:cs="Arial"/>
        </w:rPr>
        <w:t>unicipal.</w:t>
      </w:r>
    </w:p>
    <w:p w:rsidR="005E2E25" w:rsidRPr="005E2E25" w:rsidRDefault="005E2E25" w:rsidP="008B799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10 - Os titulares dos órgãos e enti</w:t>
      </w:r>
      <w:r w:rsidR="008B799C">
        <w:rPr>
          <w:rFonts w:ascii="Arial" w:hAnsi="Arial" w:cs="Arial"/>
        </w:rPr>
        <w:t>dades da Administração Pública M</w:t>
      </w:r>
      <w:r w:rsidRPr="005E2E25">
        <w:rPr>
          <w:rFonts w:ascii="Arial" w:hAnsi="Arial" w:cs="Arial"/>
        </w:rPr>
        <w:t>unicipal ficam obrigados a fornecer as informações solicitadas pelo Coordenador-Geral da Equipe de Transição, bem como lhe prestar o apoio técnico e administrativo necessários aos seus trabalhos.</w:t>
      </w:r>
    </w:p>
    <w:p w:rsidR="005E2E25" w:rsidRPr="005E2E25" w:rsidRDefault="005E2E25" w:rsidP="008B799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11 - As informações solicitadas pelo Coordenador-Geral da Equipe Transição deverão ser fornecidas, em tempo hábil e com a necessária precisão, pelos órgãos e entidades a seguir indicados:</w:t>
      </w:r>
    </w:p>
    <w:p w:rsidR="005E2E25" w:rsidRPr="005E2E25" w:rsidRDefault="005E2E25" w:rsidP="008B799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 – Secretarias, Diretorias e Procuradoria do Município e demais órgãos da administração Direta do Município; </w:t>
      </w:r>
    </w:p>
    <w:p w:rsidR="005E2E25" w:rsidRPr="005E2E25" w:rsidRDefault="005E2E25" w:rsidP="008B799C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II – demais entidades direta ou indiretamente controladas pelo Município. </w:t>
      </w:r>
    </w:p>
    <w:p w:rsidR="00FF18A4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lastRenderedPageBreak/>
        <w:t xml:space="preserve">CAPÍTULO II 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DA ADMINISTRAÇÃO MUNICIPAL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Seção 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Dos Deveres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12 - É dever da Administração que finda o mandato facilitar a transição administrativa para o novo governante, sob pena de responsabilidade, ficando proibida a omissão de informações, exclusão de arquivos, documentos e outros. 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§ 1° - Integra o dever previsto no </w:t>
      </w:r>
      <w:r w:rsidRPr="00FF18A4">
        <w:rPr>
          <w:rFonts w:ascii="Arial" w:hAnsi="Arial" w:cs="Arial"/>
          <w:i/>
        </w:rPr>
        <w:t>caput</w:t>
      </w:r>
      <w:r w:rsidRPr="005E2E25">
        <w:rPr>
          <w:rFonts w:ascii="Arial" w:hAnsi="Arial" w:cs="Arial"/>
        </w:rPr>
        <w:t xml:space="preserve"> deste artigo a obrigação dos administradores que deixam a Administração de propiciar e facilitar o acesso dos administradores eleitos, ou de seus representantes legitimamente constituídos, às instalações materiais e a todas as informações administrativas pertinentes à gestão que se encerra, digitais ou não, inclusive relativas à prestação de serviços de terceiros, bem como prestar apoio técnico e administrativo necessários aos seus trabalhos.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§ 2º - As obrigações previstas neste artigo se estendem a todos os níveis hierárquicos da administração cuja gestão se encerra.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13 - Compete ao Gabinete do Chefe do Poder Executivo disponibilizar local e infraestrutura para o desempenho das atividades concernentes à transição. </w:t>
      </w:r>
    </w:p>
    <w:p w:rsidR="005E2E25" w:rsidRPr="005E2E25" w:rsidRDefault="005E2E25" w:rsidP="00FF18A4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Art. 14 -  Até quinze dias após as </w:t>
      </w:r>
      <w:r w:rsidR="00DF7703" w:rsidRPr="005E2E25">
        <w:rPr>
          <w:rFonts w:ascii="Arial" w:hAnsi="Arial" w:cs="Arial"/>
        </w:rPr>
        <w:t>eleições</w:t>
      </w:r>
      <w:r w:rsidR="00621F17">
        <w:rPr>
          <w:rFonts w:ascii="Arial" w:hAnsi="Arial" w:cs="Arial"/>
        </w:rPr>
        <w:t>, o</w:t>
      </w:r>
      <w:r w:rsidR="00DF7703" w:rsidRPr="005E2E25">
        <w:rPr>
          <w:rFonts w:ascii="Arial" w:hAnsi="Arial" w:cs="Arial"/>
        </w:rPr>
        <w:t xml:space="preserve"> Prefeito</w:t>
      </w:r>
      <w:r w:rsidRPr="005E2E25">
        <w:rPr>
          <w:rFonts w:ascii="Arial" w:hAnsi="Arial" w:cs="Arial"/>
        </w:rPr>
        <w:t xml:space="preserve"> Municipal deverá preparar, para a entrega ao sucessor, relatório da situação da Adminis</w:t>
      </w:r>
      <w:r w:rsidR="00621F17">
        <w:rPr>
          <w:rFonts w:ascii="Arial" w:hAnsi="Arial" w:cs="Arial"/>
        </w:rPr>
        <w:t>tração M</w:t>
      </w:r>
      <w:r w:rsidRPr="005E2E25">
        <w:rPr>
          <w:rFonts w:ascii="Arial" w:hAnsi="Arial" w:cs="Arial"/>
        </w:rPr>
        <w:t>unicipal que conterá, entre outras, informações atualizadas sobre: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lastRenderedPageBreak/>
        <w:t xml:space="preserve"> I - dívidas do Município, por credor, com as datas dos respectivos vencimentos, inclusive das dívidas a longo prazo e encargos decorrentes de operações de crédito, informando sobre a capacidade da Administração municipal realizar operações de crédito de qualquer natureza; 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II - medidas necessárias à regulari</w:t>
      </w:r>
      <w:r w:rsidR="00A528ED">
        <w:rPr>
          <w:rFonts w:ascii="Arial" w:hAnsi="Arial" w:cs="Arial"/>
        </w:rPr>
        <w:t>zação das contas M</w:t>
      </w:r>
      <w:r w:rsidRPr="005E2E25">
        <w:rPr>
          <w:rFonts w:ascii="Arial" w:hAnsi="Arial" w:cs="Arial"/>
        </w:rPr>
        <w:t>unicipais perante o Tribunal de Contas ou órgãos equivalente se for o caso;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III - prestação de contas de convênios celebrados com organismos da União e do Estado, bem como do recebimento de subvenções ou auxílios;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IV - situação dos contratos com concessionárias e permissionárias de serviços públicos; 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V - estado dos contratos de obras e serviços ou execução ou apenas formalidades, informando sobre o que foi realizado e pago e o que há por executar e pagar, com os prazos respectivos; </w:t>
      </w:r>
    </w:p>
    <w:p w:rsidR="005E2E25" w:rsidRPr="005E2E25" w:rsidRDefault="005E2E25" w:rsidP="00621F17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VI - transferências a serem recebidas da União e do Estado por força do mandamento constitucional ou de convênios;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VII - projetos de lei de iniciativa do Poder Executivo em curso na Câmara Municipal, para permitir que a nova Administração decida quanto à conveniência de lhes dar prosseguimento, acelerar seu andamento ou retirá-los;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VIII - situação dos servidores do Município, seu custo, quantidade e órgão em que estão lotados e em exercício.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lastRenderedPageBreak/>
        <w:t>Seção II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 xml:space="preserve"> Das Sanções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14 - O descumprimento das obrigações previstas nesta Lei acarretará todas as sanções administrativas e legais cabíveis e multa, paralelamente à obrigação de reparar os danos causados.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§ 1º. Constituem circunstâncias agravantes, acarretando o aumento das sanções previstas no </w:t>
      </w:r>
      <w:r w:rsidRPr="00A528ED">
        <w:rPr>
          <w:rFonts w:ascii="Arial" w:hAnsi="Arial" w:cs="Arial"/>
          <w:i/>
        </w:rPr>
        <w:t xml:space="preserve">caput </w:t>
      </w:r>
      <w:r w:rsidRPr="005E2E25">
        <w:rPr>
          <w:rFonts w:ascii="Arial" w:hAnsi="Arial" w:cs="Arial"/>
        </w:rPr>
        <w:t>do artigo anterior em 1/3 (um terço):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 – sonegar informações de forma deliberada, inutilizar bancos de dados ou equipamentos de informática ou danificar patrimônio público material ou imaterial, com o intuito de dificultar a transição, praticada entre o início do período eleitoral até o final da transição;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II – intimidar servidor ou agente público, para que descumpra o preceituado nesta lei, sem prejuízo de outras sanções administrativas, civis ou penais cabíveis;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III – causar dano irreparável ou irrecuperável. 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CAPÍTULO III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  <w:b/>
        </w:rPr>
      </w:pPr>
      <w:r w:rsidRPr="005E2E25">
        <w:rPr>
          <w:rFonts w:ascii="Arial" w:hAnsi="Arial" w:cs="Arial"/>
          <w:b/>
        </w:rPr>
        <w:t>DISPOSIÇÕES FINAIS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Art. 15 - As informações resultantes dos trabalhos da equipe de transição administrativa deverão ser consignadas em relatórios, que obedecerão aos seguintes critérios de divulgação: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I - Os relatórios devem ser de conhecimento público e divulgado, alternativamente: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lastRenderedPageBreak/>
        <w:t xml:space="preserve">a) no Diário Oficial do Município, se houver, ou do Estado;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b) afixados na sede da Prefeitura;</w:t>
      </w:r>
    </w:p>
    <w:p w:rsidR="005E2E25" w:rsidRPr="005E2E25" w:rsidRDefault="005E2E25" w:rsidP="005E2E25">
      <w:pPr>
        <w:pStyle w:val="Corpodetexto"/>
        <w:spacing w:before="100" w:beforeAutospacing="1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 xml:space="preserve"> c) disponibilizados em meios eletrônicos de acesso público.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II - Some</w:t>
      </w:r>
      <w:bookmarkStart w:id="0" w:name="_GoBack"/>
      <w:bookmarkEnd w:id="0"/>
      <w:r w:rsidRPr="005E2E25">
        <w:rPr>
          <w:rFonts w:ascii="Arial" w:hAnsi="Arial" w:cs="Arial"/>
        </w:rPr>
        <w:t xml:space="preserve">nte as informações consideradas sigilosas, de acordo com lei, não poderão ser divulgadas. </w:t>
      </w:r>
    </w:p>
    <w:p w:rsidR="005E2E25" w:rsidRPr="005E2E25" w:rsidRDefault="005E2E25" w:rsidP="00A528ED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5E2E25">
        <w:rPr>
          <w:rFonts w:ascii="Arial" w:hAnsi="Arial" w:cs="Arial"/>
        </w:rPr>
        <w:t>Art. 16 - Esta lei entra em vigor na data de sua publicação.</w:t>
      </w:r>
    </w:p>
    <w:p w:rsidR="009B4F6C" w:rsidRPr="00B020C0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FC0" w:rsidRDefault="004E7FC0" w:rsidP="00997FE2">
      <w:r>
        <w:separator/>
      </w:r>
    </w:p>
  </w:endnote>
  <w:endnote w:type="continuationSeparator" w:id="0">
    <w:p w:rsidR="004E7FC0" w:rsidRDefault="004E7FC0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FC0" w:rsidRDefault="004E7FC0" w:rsidP="00997FE2">
      <w:r>
        <w:separator/>
      </w:r>
    </w:p>
  </w:footnote>
  <w:footnote w:type="continuationSeparator" w:id="0">
    <w:p w:rsidR="004E7FC0" w:rsidRDefault="004E7FC0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5B63AC8"/>
    <w:multiLevelType w:val="hybridMultilevel"/>
    <w:tmpl w:val="1AFEF85A"/>
    <w:lvl w:ilvl="0" w:tplc="C444E776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D7272"/>
    <w:rsid w:val="002D391B"/>
    <w:rsid w:val="003009F6"/>
    <w:rsid w:val="004E7FC0"/>
    <w:rsid w:val="005776A5"/>
    <w:rsid w:val="005E2E25"/>
    <w:rsid w:val="005F7585"/>
    <w:rsid w:val="00621F17"/>
    <w:rsid w:val="00672A36"/>
    <w:rsid w:val="00705AEB"/>
    <w:rsid w:val="007B4FD3"/>
    <w:rsid w:val="007C1132"/>
    <w:rsid w:val="008B799C"/>
    <w:rsid w:val="00930D94"/>
    <w:rsid w:val="00975602"/>
    <w:rsid w:val="00997FE2"/>
    <w:rsid w:val="009B4F6C"/>
    <w:rsid w:val="009F4739"/>
    <w:rsid w:val="00A528ED"/>
    <w:rsid w:val="00AF4D30"/>
    <w:rsid w:val="00B020C0"/>
    <w:rsid w:val="00B1076C"/>
    <w:rsid w:val="00C40B38"/>
    <w:rsid w:val="00CA10DD"/>
    <w:rsid w:val="00CB367C"/>
    <w:rsid w:val="00DA12F5"/>
    <w:rsid w:val="00DF7703"/>
    <w:rsid w:val="00E74165"/>
    <w:rsid w:val="00E9793E"/>
    <w:rsid w:val="00EB655E"/>
    <w:rsid w:val="00ED5343"/>
    <w:rsid w:val="00FB4698"/>
    <w:rsid w:val="00FC19C7"/>
    <w:rsid w:val="00FF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C1732-DBDF-4BE1-A286-475AE390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1659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10599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3</cp:revision>
  <cp:lastPrinted>2005-07-27T19:09:00Z</cp:lastPrinted>
  <dcterms:created xsi:type="dcterms:W3CDTF">2017-05-31T17:44:00Z</dcterms:created>
  <dcterms:modified xsi:type="dcterms:W3CDTF">2017-06-02T12:57:00Z</dcterms:modified>
</cp:coreProperties>
</file>