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1D2E41">
        <w:t>319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FA4CBE">
        <w:rPr>
          <w:lang w:val="pt-PT"/>
        </w:rPr>
        <w:t>15</w:t>
      </w:r>
      <w:r w:rsidR="00B93C00">
        <w:rPr>
          <w:lang w:val="pt-PT"/>
        </w:rPr>
        <w:t xml:space="preserve"> de 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41E0B" w:rsidRDefault="002803A5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C2667">
        <w:rPr>
          <w:rFonts w:ascii="Times New Roman" w:hAnsi="Times New Roman"/>
          <w:sz w:val="24"/>
        </w:rPr>
        <w:t>A Câmara Muni</w:t>
      </w:r>
      <w:r w:rsidR="00FA168D" w:rsidRPr="00AC2667">
        <w:rPr>
          <w:rFonts w:ascii="Times New Roman" w:hAnsi="Times New Roman"/>
          <w:sz w:val="24"/>
        </w:rPr>
        <w:t>cip</w:t>
      </w:r>
      <w:r w:rsidR="003659F2" w:rsidRPr="00AC2667">
        <w:rPr>
          <w:rFonts w:ascii="Times New Roman" w:hAnsi="Times New Roman"/>
          <w:sz w:val="24"/>
        </w:rPr>
        <w:t>al, acolhendo requerimento do</w:t>
      </w:r>
      <w:r w:rsidRPr="00AC2667">
        <w:rPr>
          <w:rFonts w:ascii="Times New Roman" w:hAnsi="Times New Roman"/>
          <w:sz w:val="24"/>
        </w:rPr>
        <w:t xml:space="preserve"> Vereador</w:t>
      </w:r>
      <w:r w:rsidR="00402C53" w:rsidRPr="00AC2667">
        <w:rPr>
          <w:rFonts w:ascii="Times New Roman" w:hAnsi="Times New Roman"/>
          <w:sz w:val="24"/>
        </w:rPr>
        <w:t xml:space="preserve"> </w:t>
      </w:r>
      <w:r w:rsidR="00D344DD" w:rsidRPr="00AC2667">
        <w:rPr>
          <w:rFonts w:ascii="Times New Roman" w:hAnsi="Times New Roman"/>
          <w:sz w:val="24"/>
        </w:rPr>
        <w:t>Leonardo Dahmer</w:t>
      </w:r>
      <w:r w:rsidRPr="00AC2667">
        <w:rPr>
          <w:rFonts w:ascii="Times New Roman" w:hAnsi="Times New Roman"/>
          <w:sz w:val="24"/>
        </w:rPr>
        <w:t xml:space="preserve">, aprovado em </w:t>
      </w:r>
      <w:r w:rsidR="0069555D" w:rsidRPr="00AC2667">
        <w:rPr>
          <w:rFonts w:ascii="Times New Roman" w:hAnsi="Times New Roman"/>
          <w:sz w:val="24"/>
        </w:rPr>
        <w:t xml:space="preserve">Sessão </w:t>
      </w:r>
      <w:r w:rsidR="00FF0AE0" w:rsidRPr="00AC2667">
        <w:rPr>
          <w:rFonts w:ascii="Times New Roman" w:hAnsi="Times New Roman"/>
          <w:sz w:val="24"/>
        </w:rPr>
        <w:t>Ordinári</w:t>
      </w:r>
      <w:r w:rsidR="00252DC2" w:rsidRPr="00AC2667">
        <w:rPr>
          <w:rFonts w:ascii="Times New Roman" w:hAnsi="Times New Roman"/>
          <w:sz w:val="24"/>
        </w:rPr>
        <w:t>a</w:t>
      </w:r>
      <w:r w:rsidR="003659F2" w:rsidRPr="00AC2667">
        <w:rPr>
          <w:rFonts w:ascii="Times New Roman" w:hAnsi="Times New Roman"/>
          <w:sz w:val="24"/>
        </w:rPr>
        <w:t xml:space="preserve"> </w:t>
      </w:r>
      <w:r w:rsidR="005E7CC9" w:rsidRPr="00AC2667">
        <w:rPr>
          <w:rFonts w:ascii="Times New Roman" w:hAnsi="Times New Roman"/>
          <w:sz w:val="24"/>
        </w:rPr>
        <w:t>do dia</w:t>
      </w:r>
      <w:r w:rsidR="005C7D36" w:rsidRPr="00AC2667">
        <w:rPr>
          <w:rFonts w:ascii="Times New Roman" w:hAnsi="Times New Roman"/>
          <w:sz w:val="24"/>
        </w:rPr>
        <w:t xml:space="preserve"> </w:t>
      </w:r>
      <w:r w:rsidR="00D41E0B" w:rsidRPr="00AC2667">
        <w:rPr>
          <w:rFonts w:ascii="Times New Roman" w:hAnsi="Times New Roman"/>
          <w:sz w:val="24"/>
        </w:rPr>
        <w:t>14</w:t>
      </w:r>
      <w:r w:rsidR="00B93C00" w:rsidRPr="00AC2667">
        <w:rPr>
          <w:rFonts w:ascii="Times New Roman" w:hAnsi="Times New Roman"/>
          <w:sz w:val="24"/>
        </w:rPr>
        <w:t xml:space="preserve"> de março</w:t>
      </w:r>
      <w:r w:rsidR="00751EFA" w:rsidRPr="00AC2667">
        <w:rPr>
          <w:rFonts w:ascii="Times New Roman" w:hAnsi="Times New Roman"/>
          <w:sz w:val="24"/>
        </w:rPr>
        <w:t xml:space="preserve">, </w:t>
      </w:r>
      <w:r w:rsidR="00110272" w:rsidRPr="00AC2667">
        <w:rPr>
          <w:rFonts w:ascii="Times New Roman" w:hAnsi="Times New Roman"/>
          <w:sz w:val="24"/>
        </w:rPr>
        <w:t>solici</w:t>
      </w:r>
      <w:r w:rsidR="00F81E14" w:rsidRPr="00AC2667">
        <w:rPr>
          <w:rFonts w:ascii="Times New Roman" w:hAnsi="Times New Roman"/>
          <w:sz w:val="24"/>
        </w:rPr>
        <w:t>ta</w:t>
      </w:r>
      <w:r w:rsidR="003659F2" w:rsidRPr="00AC2667">
        <w:rPr>
          <w:rFonts w:ascii="Times New Roman" w:hAnsi="Times New Roman"/>
          <w:sz w:val="24"/>
        </w:rPr>
        <w:t xml:space="preserve"> </w:t>
      </w:r>
      <w:r w:rsidR="00093BBE" w:rsidRPr="00AC2667">
        <w:rPr>
          <w:rFonts w:ascii="Times New Roman" w:hAnsi="Times New Roman"/>
          <w:sz w:val="24"/>
        </w:rPr>
        <w:t>a</w:t>
      </w:r>
      <w:r w:rsidRPr="00AC2667">
        <w:rPr>
          <w:rFonts w:ascii="Times New Roman" w:hAnsi="Times New Roman"/>
          <w:sz w:val="24"/>
        </w:rPr>
        <w:t xml:space="preserve"> Vossa E</w:t>
      </w:r>
      <w:r w:rsidR="00D75CA6" w:rsidRPr="00AC2667">
        <w:rPr>
          <w:rFonts w:ascii="Times New Roman" w:hAnsi="Times New Roman"/>
          <w:sz w:val="24"/>
        </w:rPr>
        <w:t>xcelência</w:t>
      </w:r>
      <w:r w:rsidR="001D2E41">
        <w:rPr>
          <w:rFonts w:ascii="Times New Roman" w:hAnsi="Times New Roman"/>
          <w:sz w:val="24"/>
        </w:rPr>
        <w:t xml:space="preserve"> que se posicione em defesa do município contra a reforma da previdência que tramita no Congresso Nacional, pois a medida irá impactar negativamente na economia da cidade.</w:t>
      </w:r>
    </w:p>
    <w:p w:rsidR="001D2E41" w:rsidRDefault="001D2E41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41E0B" w:rsidRDefault="00D41E0B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D2E41">
        <w:rPr>
          <w:rFonts w:ascii="Times New Roman" w:hAnsi="Times New Roman"/>
          <w:sz w:val="24"/>
        </w:rPr>
        <w:t>o volume de recursos oriundos da previdência que circula na economia do município é 308% maior do que o retorno do Fundo de Participação dos Municípios (FPM), mais o ICMS líquido. A previdência injetou, no ano de 2015, R$ 304 milhões na economia de Esteio. Já o FPM, no mesmo período, foi de R$ 25 milhões, e o ICMS líquido foi de R$ 49 milhões. Portanto, os recursos da previdência movimentam o comércio, a indústria e a geração de emprego com valores três vezes maiores que os repasses de impostos ao município.</w:t>
      </w:r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  <w:bookmarkStart w:id="0" w:name="_GoBack"/>
      <w:bookmarkEnd w:id="0"/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D2E41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E7CC9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57FB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C2667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93C00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44DD"/>
    <w:rsid w:val="00D41E0B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A4CBE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DEAE4-9961-4CA8-B01F-487640D1D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2</cp:revision>
  <cp:lastPrinted>2017-03-03T15:57:00Z</cp:lastPrinted>
  <dcterms:created xsi:type="dcterms:W3CDTF">2017-03-15T19:17:00Z</dcterms:created>
  <dcterms:modified xsi:type="dcterms:W3CDTF">2017-03-15T19:17:00Z</dcterms:modified>
</cp:coreProperties>
</file>