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42800FCE" w14:textId="77777777">
      <w:pPr>
        <w:pBdr/>
        <w:spacing w:line="360" w:lineRule="auto"/>
        <w:ind/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 w14:paraId="65668F74" w14:textId="491EED3D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 PROJETO DE LEI Nº ___/2026</w:t>
      </w:r>
      <w:r>
        <w:rPr>
          <w:rFonts w:ascii="Calibri" w:hAnsi="Calibri" w:cs="Calibri"/>
        </w:rPr>
      </w:r>
    </w:p>
    <w:p w14:paraId="7CD1ADC2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228DF341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1303F460" w14:textId="66DBFF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360" w:lineRule="auto"/>
        <w:ind w:left="3402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</w:rPr>
        <w:t xml:space="preserve">DISPÕE SOBRE DIRETRIZES PARA A PROTEÇÃO DA ORDEM URBANA, SAÚDE PÚBLICA E CONVIVÊNCIA SOCIAL EM ESPAÇOS PÚBLICOS DO MUNICÍPIO DE MACAÉ, E DÁ OUTRAS PROVIDÊNCIAS</w:t>
      </w:r>
      <w:r>
        <w:rPr>
          <w:rFonts w:ascii="Calibri" w:hAnsi="Calibri" w:eastAsia="Calibri" w:cs="Calibri"/>
          <w:color w:val="000000"/>
        </w:rPr>
        <w:t xml:space="preserve">.</w:t>
      </w:r>
      <w:r>
        <w:rPr>
          <w:rFonts w:ascii="Calibri" w:hAnsi="Calibri" w:cs="Calibri"/>
        </w:rPr>
      </w:r>
    </w:p>
    <w:p w14:paraId="19C2B4F5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5DA4E9AD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1AA5876A" w14:textId="77777777">
      <w:pPr>
        <w:pBdr/>
        <w:spacing w:line="360" w:lineRule="auto"/>
        <w:ind/>
        <w:jc w:val="both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A CÂMARA MUNICIPAL DE MACAÉ, Estado do RIO DE JANEIRO, no uso de suas atribuições legais, aprova e eu, PREFEITO MUNICIPAL, sanciono a seguinte Lei:</w:t>
      </w:r>
      <w:r>
        <w:rPr>
          <w:rFonts w:ascii="Calibri" w:hAnsi="Calibri" w:eastAsia="Calibri" w:cs="Calibri"/>
        </w:rPr>
      </w:r>
    </w:p>
    <w:p w14:paraId="5B48A0C2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2E3E60F7" w14:textId="1711E39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Art. 1º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Esta Lei estabelece diretrizes para a promoção da ordem urbana, da saúde pública e da convivência social em espaços públicos do Município, no que se refere ao consumo ostensivo de substâncias ilícitas.</w:t>
      </w:r>
      <w:r>
        <w:rPr>
          <w:rFonts w:ascii="Calibri" w:hAnsi="Calibri" w:cs="Calibri"/>
        </w:rPr>
      </w:r>
    </w:p>
    <w:p w14:paraId="2A1AB5EE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7CA7FDA8" w14:textId="62DE5B00">
      <w:pPr>
        <w:pBdr/>
        <w:spacing w:line="360" w:lineRule="auto"/>
        <w:ind/>
        <w:jc w:val="both"/>
        <w:rPr>
          <w:rFonts w:ascii="Calibri" w:hAnsi="Calibri" w:cs="Calibri"/>
          <w:highlight w:val="none"/>
        </w:rPr>
      </w:pPr>
      <w:r>
        <w:rPr>
          <w:rFonts w:ascii="Calibri" w:hAnsi="Calibri" w:cs="Calibri"/>
          <w:b/>
          <w:bCs/>
        </w:rPr>
        <w:t xml:space="preserve">Art. 2º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O Poder Executivo poderá, no exercício do poder de polícia administrativa, adotar medidas de fiscalização e orientação quanto ao uso ostensivo de substâncias entorpecentes ou psicotrópicas ilícitas no município de Macaé.</w:t>
      </w:r>
      <w:r>
        <w:rPr>
          <w:rFonts w:ascii="Calibri" w:hAnsi="Calibri" w:cs="Calibri"/>
        </w:rPr>
      </w:r>
    </w:p>
    <w:p w14:paraId="0BC24F44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highlight w:val="none"/>
        </w:rPr>
      </w:r>
      <w:r>
        <w:rPr>
          <w:rFonts w:ascii="Calibri" w:hAnsi="Calibri" w:cs="Calibri"/>
          <w:highlight w:val="none"/>
        </w:rPr>
      </w:r>
      <w:r>
        <w:rPr>
          <w:rFonts w:ascii="Calibri" w:hAnsi="Calibri" w:cs="Calibri"/>
          <w:highlight w:val="none"/>
        </w:rPr>
      </w:r>
    </w:p>
    <w:p w14:paraId="29986F88" w14:textId="2469706E">
      <w:pPr>
        <w:pBdr/>
        <w:spacing w:line="360" w:lineRule="auto"/>
        <w:ind/>
        <w:jc w:val="both"/>
        <w:rPr>
          <w:rFonts w:ascii="Calibri" w:hAnsi="Calibri" w:cs="Calibri"/>
          <w:highlight w:val="none"/>
        </w:rPr>
      </w:pPr>
      <w:r>
        <w:rPr>
          <w:rFonts w:ascii="Calibri" w:hAnsi="Calibri" w:cs="Calibri"/>
          <w:b/>
          <w:bCs/>
        </w:rPr>
        <w:t xml:space="preserve">Art. 3º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Constitui infração administrativa o uso de substância entorpecente ou psicotrópica ilícita em espaço público ou de uso coletivo no território do Município de Macaé, independentemente da forma de consumo, por comprometer a ordem urbana, a salubridade pública e a convivência social.</w:t>
      </w:r>
      <w:r>
        <w:rPr>
          <w:rFonts w:ascii="Calibri" w:hAnsi="Calibri" w:cs="Calibri"/>
        </w:rPr>
      </w:r>
    </w:p>
    <w:p w14:paraId="510E56A2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315C5A02">
      <w:pPr>
        <w:pBdr/>
        <w:spacing w:line="360" w:lineRule="auto"/>
        <w:ind/>
        <w:jc w:val="both"/>
        <w:rPr>
          <w:rFonts w:ascii="Calibri" w:hAnsi="Calibri" w:cs="Calibri"/>
          <w:highlight w:val="none"/>
        </w:rPr>
      </w:pPr>
      <w:r>
        <w:rPr>
          <w:rFonts w:ascii="Calibri" w:hAnsi="Calibri" w:cs="Calibri"/>
          <w:b/>
          <w:bCs/>
          <w:highlight w:val="none"/>
        </w:rPr>
        <w:t xml:space="preserve">Parágrafo único.</w:t>
      </w:r>
      <w:r>
        <w:rPr>
          <w:rFonts w:ascii="Calibri" w:hAnsi="Calibri" w:cs="Calibri"/>
          <w:highlight w:val="none"/>
        </w:rPr>
        <w:t xml:space="preserve"> </w:t>
      </w:r>
      <w:r>
        <w:rPr>
          <w:rFonts w:ascii="Calibri" w:hAnsi="Calibri" w:cs="Calibri"/>
          <w:highlight w:val="none"/>
        </w:rPr>
        <w:t xml:space="preserve">Os espaços públicos incluem:</w:t>
      </w:r>
      <w:r>
        <w:rPr>
          <w:rFonts w:ascii="Calibri" w:hAnsi="Calibri" w:cs="Calibri"/>
        </w:rPr>
      </w:r>
    </w:p>
    <w:p w14:paraId="1BCDE87D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I – vias públicas;</w:t>
      </w:r>
      <w:r/>
    </w:p>
    <w:p w14:paraId="4B43F549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II – praças;</w:t>
      </w:r>
      <w:r/>
    </w:p>
    <w:p w14:paraId="42325D25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III – praias;</w:t>
      </w:r>
      <w:r/>
    </w:p>
    <w:p w14:paraId="76E237FF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IV – parques;</w:t>
      </w:r>
      <w:r/>
    </w:p>
    <w:p w14:paraId="48F92EF8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V – calçadas;</w:t>
      </w:r>
      <w:r/>
    </w:p>
    <w:p w14:paraId="72E2E099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VI – logradouros públicos;</w:t>
      </w:r>
      <w:r/>
    </w:p>
    <w:p w14:paraId="7EA9EB89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VII – áreas externas e internas de prédios públicos;</w:t>
      </w:r>
      <w:r/>
    </w:p>
    <w:p w14:paraId="5EAF2CA5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VIII – áreas de circulação comum;</w:t>
      </w:r>
      <w:r/>
    </w:p>
    <w:p w14:paraId="40916DC1">
      <w:pPr>
        <w:pBdr/>
        <w:spacing w:line="360" w:lineRule="auto"/>
        <w:ind/>
        <w:jc w:val="both"/>
        <w:rPr/>
      </w:pPr>
      <w:r>
        <w:rPr>
          <w:rFonts w:ascii="Calibri" w:hAnsi="Calibri" w:cs="Calibri"/>
          <w:highlight w:val="none"/>
        </w:rPr>
        <w:t xml:space="preserve">IX - áreas de preservação ambiental;</w:t>
      </w:r>
      <w:r/>
    </w:p>
    <w:p w14:paraId="744B2328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highlight w:val="none"/>
        </w:rPr>
        <w:t xml:space="preserve">X - demais  áreas sujeitas à atuação da administração pública</w:t>
      </w:r>
      <w:r>
        <w:rPr>
          <w:rFonts w:ascii="Calibri" w:hAnsi="Calibri" w:cs="Calibri"/>
          <w:highlight w:val="none"/>
        </w:rPr>
      </w:r>
      <w:r>
        <w:rPr>
          <w:rFonts w:ascii="Calibri" w:hAnsi="Calibri" w:cs="Calibri"/>
          <w:highlight w:val="none"/>
        </w:rPr>
        <w:t xml:space="preserve">.</w:t>
      </w:r>
      <w:r>
        <w:rPr>
          <w:rFonts w:ascii="Calibri" w:hAnsi="Calibri" w:cs="Calibri"/>
          <w:highlight w:val="none"/>
        </w:rPr>
      </w:r>
    </w:p>
    <w:p w14:paraId="73DE5C8B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highlight w:val="none"/>
        </w:rPr>
      </w:r>
      <w:r>
        <w:rPr>
          <w:rFonts w:ascii="Calibri" w:hAnsi="Calibri" w:cs="Calibri"/>
          <w:highlight w:val="none"/>
        </w:rPr>
      </w:r>
      <w:r>
        <w:rPr>
          <w:rFonts w:ascii="Calibri" w:hAnsi="Calibri" w:cs="Calibri"/>
          <w:highlight w:val="none"/>
        </w:rPr>
      </w:r>
    </w:p>
    <w:p w14:paraId="311ADFCE">
      <w:pPr>
        <w:pBdr/>
        <w:spacing w:line="360" w:lineRule="auto"/>
        <w:ind/>
        <w:jc w:val="both"/>
        <w:rPr>
          <w:rFonts w:ascii="Calibri" w:hAnsi="Calibri" w:cs="Calibri"/>
          <w:highlight w:val="none"/>
        </w:rPr>
      </w:pPr>
      <w:r>
        <w:rPr>
          <w:rFonts w:ascii="Calibri" w:hAnsi="Calibri" w:cs="Calibri"/>
        </w:rPr>
      </w:r>
      <w:r>
        <w:rPr>
          <w:rFonts w:ascii="Calibri" w:hAnsi="Calibri" w:cs="Calibri"/>
          <w:b/>
          <w:bCs/>
        </w:rPr>
        <w:t xml:space="preserve">Art. 4º </w:t>
      </w:r>
      <w:r>
        <w:rPr>
          <w:rFonts w:ascii="Calibri" w:hAnsi="Calibri" w:cs="Calibri"/>
        </w:rPr>
        <w:t xml:space="preserve">Sem prejuízo das medidas previstas na legislação federal, especialmente na Lei nº 11.343/2006, o Poder Executivo </w:t>
      </w:r>
      <w:r>
        <w:rPr>
          <w:rFonts w:ascii="Calibri" w:hAnsi="Calibri" w:cs="Calibri"/>
        </w:rPr>
        <w:t xml:space="preserve">poderá instituir, por meio de regulamentação própria</w:t>
      </w:r>
      <w:r>
        <w:rPr>
          <w:rFonts w:ascii="Calibri" w:hAnsi="Calibri" w:cs="Calibri"/>
        </w:rPr>
        <w:t xml:space="preserve">, sanções administrativas proporcionais, inclusive advertência e multa, observados:</w:t>
      </w:r>
      <w:r>
        <w:rPr>
          <w:rFonts w:ascii="Calibri" w:hAnsi="Calibri" w:cs="Calibri"/>
        </w:rPr>
      </w:r>
      <w:r/>
    </w:p>
    <w:p w14:paraId="69FE628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– o devido processo administrativo;</w:t>
      </w:r>
      <w:r>
        <w:rPr>
          <w:rFonts w:ascii="Calibri" w:hAnsi="Calibri" w:cs="Calibri"/>
        </w:rPr>
      </w:r>
    </w:p>
    <w:p w14:paraId="0E85061C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 – a ampla defesa e o contraditório;</w:t>
      </w:r>
      <w:r>
        <w:rPr>
          <w:rFonts w:ascii="Calibri" w:hAnsi="Calibri" w:cs="Calibri"/>
        </w:rPr>
      </w:r>
    </w:p>
    <w:p w14:paraId="57FB82A1" w14:textId="62451009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III – os princípios da razoabilidade e proporcionalidade.</w:t>
      </w:r>
      <w:r>
        <w:rPr>
          <w:rFonts w:ascii="Calibri" w:hAnsi="Calibri" w:cs="Calibri"/>
        </w:rPr>
      </w:r>
    </w:p>
    <w:p w14:paraId="66CF4C9A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47F0AB67" w14:textId="074E7EA1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  <w:t xml:space="preserve">Art. 5º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Os valores eventualmente </w:t>
      </w:r>
      <w:r>
        <w:rPr>
          <w:rFonts w:ascii="Calibri" w:hAnsi="Calibri" w:cs="Calibri"/>
        </w:rPr>
        <w:t xml:space="preserve">arrecadados com sanções administrativas poderão ser destinados, na forma da regulamentaçã</w:t>
      </w:r>
      <w:r>
        <w:rPr>
          <w:rFonts w:ascii="Calibri" w:hAnsi="Calibri" w:cs="Calibri"/>
        </w:rPr>
        <w:t xml:space="preserve">o:</w:t>
      </w:r>
      <w:r>
        <w:rPr>
          <w:rFonts w:ascii="Calibri" w:hAnsi="Calibri" w:cs="Calibri"/>
        </w:rPr>
      </w:r>
    </w:p>
    <w:p w14:paraId="6D34B341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– a fundos municipais vinculados à segurança pública;</w:t>
      </w:r>
      <w:r>
        <w:rPr>
          <w:rFonts w:ascii="Calibri" w:hAnsi="Calibri" w:cs="Calibri"/>
        </w:rPr>
      </w:r>
    </w:p>
    <w:p w14:paraId="5223FC0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 – a fundos municipais de assistência social;</w:t>
      </w:r>
      <w:r>
        <w:rPr>
          <w:rFonts w:ascii="Calibri" w:hAnsi="Calibri" w:cs="Calibri"/>
        </w:rPr>
      </w:r>
    </w:p>
    <w:p w14:paraId="76EC62EF" w14:textId="05CADA43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III – a ações de prevenção, acolhimento e reinserção social.</w:t>
      </w:r>
      <w:r>
        <w:rPr>
          <w:rFonts w:ascii="Calibri" w:hAnsi="Calibri" w:cs="Calibri"/>
        </w:rPr>
      </w:r>
    </w:p>
    <w:p w14:paraId="659C66D4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767D765C" w14:textId="5C7AAF56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  <w:t xml:space="preserve">Art. 6º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</w:rPr>
        <w:t xml:space="preserve">O Poder </w:t>
      </w:r>
      <w:r>
        <w:rPr>
          <w:rFonts w:ascii="Calibri" w:hAnsi="Calibri" w:cs="Calibri"/>
        </w:rPr>
        <w:t xml:space="preserve">Executivo poderá promover, por</w:t>
      </w:r>
      <w:r>
        <w:rPr>
          <w:rFonts w:ascii="Calibri" w:hAnsi="Calibri" w:cs="Calibri"/>
        </w:rPr>
        <w:t xml:space="preserve"> meio da rede pública ou conveniada:</w:t>
      </w:r>
      <w:r>
        <w:rPr>
          <w:rFonts w:ascii="Calibri" w:hAnsi="Calibri" w:cs="Calibri"/>
        </w:rPr>
      </w:r>
    </w:p>
    <w:p w14:paraId="6BB6F96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– encaminhamento voluntário para atendimento psicossocial;</w:t>
      </w:r>
      <w:r>
        <w:rPr>
          <w:rFonts w:ascii="Calibri" w:hAnsi="Calibri" w:cs="Calibri"/>
        </w:rPr>
      </w:r>
    </w:p>
    <w:p w14:paraId="1884D0C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 – ações de acolhimento e assistência social;</w:t>
      </w:r>
      <w:r>
        <w:rPr>
          <w:rFonts w:ascii="Calibri" w:hAnsi="Calibri" w:cs="Calibri"/>
        </w:rPr>
      </w:r>
    </w:p>
    <w:p w14:paraId="4632A946" w14:textId="13CC1D18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III – programas de prevenção ao uso de substâncias psicoativas.</w:t>
      </w:r>
      <w:r>
        <w:rPr>
          <w:rFonts w:ascii="Calibri" w:hAnsi="Calibri" w:cs="Calibri"/>
        </w:rPr>
      </w:r>
    </w:p>
    <w:p w14:paraId="2094B40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27D4D014" w14:textId="089049B0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  <w:t xml:space="preserve">Art. 7º</w:t>
      </w:r>
      <w:r>
        <w:rPr>
          <w:rFonts w:ascii="Calibri" w:hAnsi="Calibri" w:cs="Calibri"/>
          <w:b/>
          <w:bCs/>
        </w:rPr>
      </w:r>
      <w:r>
        <w:rPr>
          <w:rFonts w:ascii="Calibri" w:hAnsi="Calibri" w:cs="Calibri"/>
        </w:rPr>
        <w:t xml:space="preserve"> As ações decorrentes desta Lei deverão observar:</w:t>
      </w:r>
      <w:r>
        <w:rPr>
          <w:rFonts w:ascii="Calibri" w:hAnsi="Calibri" w:cs="Calibri"/>
        </w:rPr>
      </w:r>
    </w:p>
    <w:p w14:paraId="64F3F99D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– a dignidade da pessoa humana;</w:t>
      </w:r>
      <w:r>
        <w:rPr>
          <w:rFonts w:ascii="Calibri" w:hAnsi="Calibri" w:cs="Calibri"/>
        </w:rPr>
      </w:r>
    </w:p>
    <w:p w14:paraId="3B36311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 – o atendimento humanizado;</w:t>
      </w:r>
      <w:r>
        <w:rPr>
          <w:rFonts w:ascii="Calibri" w:hAnsi="Calibri" w:cs="Calibri"/>
        </w:rPr>
      </w:r>
    </w:p>
    <w:p w14:paraId="75DA4E3E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III – a proteção integral;</w:t>
      </w:r>
      <w:r>
        <w:rPr>
          <w:rFonts w:ascii="Calibri" w:hAnsi="Calibri" w:cs="Calibri"/>
        </w:rPr>
      </w:r>
    </w:p>
    <w:p w14:paraId="2A3F5AA5" w14:textId="6AB67CB0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IV – as diretrizes da Lei nº 10.216/2001.</w:t>
      </w:r>
      <w:r>
        <w:rPr>
          <w:rFonts w:ascii="Calibri" w:hAnsi="Calibri" w:cs="Calibri"/>
        </w:rPr>
      </w:r>
    </w:p>
    <w:p w14:paraId="5B853B70" w14:textId="77777777">
      <w:pPr>
        <w:pBdr/>
        <w:spacing w:line="360" w:lineRule="auto"/>
        <w:ind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 w14:paraId="1C3FE9FF" w14:textId="78715231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  <w:t xml:space="preserve">Art. 8º</w:t>
      </w:r>
      <w:r/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A atuação dos agentes públicos no cumprimento desta Lei deverá priorizar:</w:t>
      </w:r>
      <w:r>
        <w:rPr>
          <w:rFonts w:ascii="Calibri" w:hAnsi="Calibri" w:cs="Calibri"/>
        </w:rPr>
      </w:r>
    </w:p>
    <w:p w14:paraId="5683CA5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 – ações educativas e preventivas;</w:t>
      </w:r>
      <w:r>
        <w:rPr>
          <w:rFonts w:ascii="Calibri" w:hAnsi="Calibri" w:cs="Calibri"/>
        </w:rPr>
      </w:r>
    </w:p>
    <w:p w14:paraId="14BBE98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 – redução de danos;</w:t>
      </w:r>
      <w:r>
        <w:rPr>
          <w:rFonts w:ascii="Calibri" w:hAnsi="Calibri" w:cs="Calibri"/>
        </w:rPr>
      </w:r>
    </w:p>
    <w:p w14:paraId="5B009C86" w14:textId="3E81CDAB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III – articulação com políticas públicas de saúde e assistência social.</w:t>
      </w:r>
      <w:r>
        <w:rPr>
          <w:rFonts w:ascii="Calibri" w:hAnsi="Calibri" w:cs="Calibri"/>
        </w:rPr>
      </w:r>
    </w:p>
    <w:p w14:paraId="4181A60F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2C41C377" w14:textId="2CA7CFCD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  <w:t xml:space="preserve">Art. 9º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O Poder </w:t>
      </w:r>
      <w:r>
        <w:rPr>
          <w:rFonts w:ascii="Calibri" w:hAnsi="Calibri" w:cs="Calibri"/>
        </w:rPr>
        <w:t xml:space="preserve">Executivo poderá firmar convênios e parcerias com ór</w:t>
      </w:r>
      <w:r>
        <w:rPr>
          <w:rFonts w:ascii="Calibri" w:hAnsi="Calibri" w:cs="Calibri"/>
        </w:rPr>
        <w:t xml:space="preserve">gãos estaduais, federais e entidades da sociedade civil para a execução das diretrizes previstas nesta Lei.</w:t>
      </w:r>
      <w:r>
        <w:rPr>
          <w:rFonts w:ascii="Calibri" w:hAnsi="Calibri" w:cs="Calibri"/>
        </w:rPr>
      </w:r>
    </w:p>
    <w:p w14:paraId="71F4676C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08BBEDCE" w14:textId="531CA30A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Art. 10 </w:t>
      </w:r>
      <w:r>
        <w:rPr>
          <w:rFonts w:ascii="Calibri" w:hAnsi="Calibri" w:cs="Calibri"/>
        </w:rPr>
        <w:t xml:space="preserve">A regulamentação desta Lei ficará a cargo do Poder Executivo, no que couber.</w:t>
      </w:r>
      <w:r>
        <w:rPr>
          <w:rFonts w:ascii="Calibri" w:hAnsi="Calibri" w:cs="Calibri"/>
        </w:rPr>
      </w:r>
    </w:p>
    <w:p w14:paraId="2C9EA6E4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7958B722" w14:textId="152D0ECF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Art. 11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Esta Lei entra em vigor na data de sua publicação.</w:t>
      </w:r>
      <w:r>
        <w:rPr>
          <w:rFonts w:ascii="Calibri" w:hAnsi="Calibri" w:cs="Calibri"/>
        </w:rPr>
      </w:r>
    </w:p>
    <w:p w14:paraId="5B769833" w14:textId="77777777">
      <w:pPr>
        <w:pBdr/>
        <w:spacing w:line="360" w:lineRule="auto"/>
        <w:ind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 w14:paraId="6FB9B850" w14:textId="77777777">
      <w:pPr>
        <w:pBdr/>
        <w:spacing w:line="360" w:lineRule="auto"/>
        <w:ind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JUSTIFICATIVA</w:t>
      </w:r>
      <w:r>
        <w:rPr>
          <w:rFonts w:ascii="Calibri" w:hAnsi="Calibri" w:cs="Calibri"/>
          <w:b/>
          <w:bCs/>
        </w:rPr>
      </w:r>
    </w:p>
    <w:p w14:paraId="510B069C" w14:textId="77777777">
      <w:pPr>
        <w:pBdr/>
        <w:spacing w:line="360" w:lineRule="auto"/>
        <w:ind/>
        <w:jc w:val="center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42E0C275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 presente Projeto de Lei tem por objetivo estabelecer diretrizes para atuação do Poder Público Municipal diante dos impactos sociais e urbanos relacionados ao consumo ostensivo de substâncias ilícitas em espaços públicos.</w:t>
      </w:r>
      <w:r>
        <w:rPr>
          <w:rFonts w:ascii="Calibri" w:hAnsi="Calibri" w:cs="Calibri"/>
        </w:rPr>
      </w:r>
    </w:p>
    <w:p w14:paraId="162684D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4390E3D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proposta busca conciliar ordem urbana, saúde pública e assistência social, respeitando os limites constitucionais da atuação municipal.</w:t>
      </w:r>
      <w:r>
        <w:rPr>
          <w:rFonts w:ascii="Calibri" w:hAnsi="Calibri" w:cs="Calibri"/>
        </w:rPr>
      </w:r>
    </w:p>
    <w:p w14:paraId="7AFD50E9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288160B6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Importante destacar que:</w:t>
      </w:r>
      <w:r>
        <w:rPr>
          <w:rFonts w:ascii="Calibri" w:hAnsi="Calibri" w:cs="Calibri"/>
        </w:rPr>
      </w:r>
    </w:p>
    <w:p w14:paraId="0667E30A" w14:textId="77777777">
      <w:pPr>
        <w:numPr>
          <w:ilvl w:val="0"/>
          <w:numId w:val="29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não há criação de tipo penal;</w:t>
      </w:r>
      <w:r>
        <w:rPr>
          <w:rFonts w:ascii="Calibri" w:hAnsi="Calibri" w:cs="Calibri"/>
        </w:rPr>
      </w:r>
    </w:p>
    <w:p w14:paraId="5A7D9D98" w14:textId="77777777">
      <w:pPr>
        <w:numPr>
          <w:ilvl w:val="0"/>
          <w:numId w:val="29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não há invasão da competência da União;</w:t>
      </w:r>
      <w:r>
        <w:rPr>
          <w:rFonts w:ascii="Calibri" w:hAnsi="Calibri" w:cs="Calibri"/>
        </w:rPr>
      </w:r>
    </w:p>
    <w:p w14:paraId="2013BB72" w14:textId="77777777">
      <w:pPr>
        <w:numPr>
          <w:ilvl w:val="0"/>
          <w:numId w:val="29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não há imposição direta de despesas obrigatórias;</w:t>
      </w:r>
      <w:r>
        <w:rPr>
          <w:rFonts w:ascii="Calibri" w:hAnsi="Calibri" w:cs="Calibri"/>
        </w:rPr>
      </w:r>
    </w:p>
    <w:p w14:paraId="300AB51E" w14:textId="77777777">
      <w:pPr>
        <w:numPr>
          <w:ilvl w:val="0"/>
          <w:numId w:val="29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lei possui caráter autorizativo e programático, reduzindo risco de vício de iniciativa.</w:t>
      </w:r>
      <w:r>
        <w:rPr>
          <w:rFonts w:ascii="Calibri" w:hAnsi="Calibri" w:cs="Calibri"/>
        </w:rPr>
      </w:r>
    </w:p>
    <w:p w14:paraId="25D31C49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 Município, nos termos do art. 30, I e II da Constituição Federal, possui competência para legislar sobre interesse local e organizar serviços públicos.</w:t>
      </w:r>
      <w:r>
        <w:rPr>
          <w:rFonts w:ascii="Calibri" w:hAnsi="Calibri" w:cs="Calibri"/>
        </w:rPr>
      </w:r>
    </w:p>
    <w:p w14:paraId="2EF0F4F0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proposta também se alinha às diretrizes da:</w:t>
      </w:r>
      <w:r>
        <w:rPr>
          <w:rFonts w:ascii="Calibri" w:hAnsi="Calibri" w:cs="Calibri"/>
        </w:rPr>
      </w:r>
    </w:p>
    <w:p w14:paraId="598DB34F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6CF15B8C" w14:textId="77777777">
      <w:pPr>
        <w:numPr>
          <w:ilvl w:val="0"/>
          <w:numId w:val="30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Lei nº 11.343/2006</w:t>
      </w:r>
      <w:r>
        <w:rPr>
          <w:rFonts w:ascii="Calibri" w:hAnsi="Calibri" w:cs="Calibri"/>
        </w:rPr>
      </w:r>
    </w:p>
    <w:p w14:paraId="02520B31" w14:textId="77777777">
      <w:pPr>
        <w:numPr>
          <w:ilvl w:val="0"/>
          <w:numId w:val="30"/>
        </w:num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Lei nº 10.216/2001</w:t>
      </w:r>
      <w:r>
        <w:rPr>
          <w:rFonts w:ascii="Calibri" w:hAnsi="Calibri" w:cs="Calibri"/>
        </w:rPr>
      </w:r>
    </w:p>
    <w:p w14:paraId="1AC3F6BA" w14:textId="77777777">
      <w:pPr>
        <w:pBdr/>
        <w:spacing w:line="360" w:lineRule="auto"/>
        <w:ind w:left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01C2378B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Além disso, prioriza abordagem humanizada, prevenção e encaminhamento voluntário, evitando medidas meramente punitivas.</w:t>
      </w:r>
      <w:r>
        <w:rPr>
          <w:rFonts w:ascii="Calibri" w:hAnsi="Calibri" w:cs="Calibri"/>
        </w:rPr>
      </w:r>
    </w:p>
    <w:p w14:paraId="393209DE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12D98BBE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Dessa forma, o projeto fortalece políticas públicas integradas, sem ultrapassar os limites legais da competência municipal.</w:t>
      </w:r>
      <w:r>
        <w:rPr>
          <w:rFonts w:ascii="Calibri" w:hAnsi="Calibri" w:cs="Calibri"/>
        </w:rPr>
      </w:r>
    </w:p>
    <w:p w14:paraId="3343B397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15AC16DF" w14:textId="628AE4F4">
      <w:pPr>
        <w:pBdr/>
        <w:spacing w:line="360" w:lineRule="auto"/>
        <w:ind/>
        <w:jc w:val="center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Sala das Sessões, </w:t>
      </w:r>
      <w:r>
        <w:rPr>
          <w:rFonts w:ascii="Calibri" w:hAnsi="Calibri" w:eastAsia="Calibri" w:cs="Calibri"/>
        </w:rPr>
        <w:t xml:space="preserve">2</w:t>
      </w:r>
      <w:r>
        <w:rPr>
          <w:rFonts w:ascii="Calibri" w:hAnsi="Calibri" w:eastAsia="Calibri" w:cs="Calibri"/>
        </w:rPr>
        <w:t xml:space="preserve">7 de abril de 2026.</w:t>
      </w:r>
      <w:r>
        <w:rPr>
          <w:rFonts w:ascii="Calibri" w:hAnsi="Calibri" w:cs="Calibri"/>
        </w:rPr>
      </w:r>
    </w:p>
    <w:p w14:paraId="4D67DC51" w14:textId="77777777">
      <w:pPr>
        <w:pBdr/>
        <w:spacing w:line="360" w:lineRule="auto"/>
        <w:ind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</w:r>
      <w:r>
        <w:rPr>
          <w:rFonts w:ascii="Calibri" w:hAnsi="Calibri" w:cs="Calibri"/>
          <w:b/>
          <w:bCs/>
        </w:rPr>
      </w:r>
    </w:p>
    <w:p w14:paraId="247BDCC1" w14:textId="77777777">
      <w:pPr>
        <w:pBdr/>
        <w:spacing w:line="360" w:lineRule="auto"/>
        <w:ind/>
        <w:jc w:val="center"/>
        <w:rPr>
          <w:rFonts w:ascii="Calibri" w:hAnsi="Calibri" w:cs="Calibri"/>
          <w:b/>
          <w:bCs/>
        </w:rPr>
      </w:pPr>
      <w:r>
        <w:rPr>
          <w:rFonts w:ascii="Calibri" w:hAnsi="Calibri" w:eastAsia="Calibri" w:cs="Calibri"/>
          <w:b/>
        </w:rPr>
        <w:t xml:space="preserve">LEONES ALMEIDA</w:t>
      </w:r>
      <w:r>
        <w:rPr>
          <w:rFonts w:ascii="Calibri" w:hAnsi="Calibri" w:cs="Calibri"/>
          <w:b/>
          <w:bCs/>
        </w:rPr>
      </w:r>
    </w:p>
    <w:p w14:paraId="3ED09CF9" w14:textId="77777777">
      <w:pPr>
        <w:pBdr/>
        <w:spacing w:line="360" w:lineRule="auto"/>
        <w:ind/>
        <w:jc w:val="center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Vereador-autor</w:t>
      </w:r>
      <w:r>
        <w:rPr>
          <w:rFonts w:ascii="Calibri" w:hAnsi="Calibri" w:cs="Calibri"/>
        </w:rPr>
      </w:r>
    </w:p>
    <w:p w14:paraId="33875C21" w14:textId="77777777">
      <w:pPr>
        <w:pBdr/>
        <w:spacing w:line="360" w:lineRule="auto"/>
        <w:ind/>
        <w:jc w:val="both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4E761250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5802A390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2E9987E" w14:textId="77777777">
    <w:pPr>
      <w:pStyle w:val="104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</w:p>
  <w:p w14:paraId="368BF590" w14:textId="77777777">
    <w:pPr>
      <w:pStyle w:val="104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61"/>
        <w:rFonts w:ascii="Verdana" w:hAnsi="Verdana" w:cs="Arial"/>
        <w:color w:val="202124"/>
        <w:sz w:val="16"/>
        <w:szCs w:val="16"/>
      </w:rPr>
      <w:t xml:space="preserve">Avenida Antônio Abreu, 1805. Fazenda Blanchete - Horto - Macaé - RJ. 27.947-570</w:t>
    </w:r>
    <w:r>
      <w:rPr>
        <w:rFonts w:ascii="Verdana" w:hAnsi="Verdana"/>
        <w:sz w:val="16"/>
        <w:szCs w:val="16"/>
      </w:rPr>
    </w:r>
  </w:p>
  <w:p w14:paraId="32585C58" w14:textId="77777777">
    <w:pPr>
      <w:pStyle w:val="104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%C3%A9&amp;ei=STSAYNrUGfq65OUPyv6k2Aw&amp;oq=camara+municipal+de+maca%C3%A9&amp;gs_lcp=Cgdnd3Mtd2l6EAMyCAgAEMcBEK8BMgIIADICCAAyBggAEBYQHjIGCAAQFhAeMgYIABAWEB4yBggAEBYQHjIGCAAQFhAeMgYIABAWEB4yBggAEBYQHjoHCAAQRxCwAzoIC" w:history="1">
      <w:r>
        <w:rPr>
          <w:rStyle w:val="1060"/>
          <w:rFonts w:ascii="Verdana" w:hAnsi="Verdana" w:cs="Arial"/>
          <w:color w:val="000000"/>
          <w:sz w:val="16"/>
          <w:szCs w:val="16"/>
          <w:u w:val="none"/>
        </w:rPr>
        <w:t xml:space="preserve">(22) 2796-7800</w:t>
      </w:r>
    </w:hyperlink>
    <w:r/>
    <w:r>
      <w:rPr>
        <w:rFonts w:ascii="Verdana" w:hAnsi="Verdana"/>
        <w:sz w:val="16"/>
        <w:szCs w:val="16"/>
      </w:rPr>
    </w:r>
  </w:p>
  <w:p w14:paraId="02DB7D4E" w14:textId="77777777">
    <w:pPr>
      <w:pStyle w:val="104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</w:p>
  <w:p w14:paraId="3962CAF0" w14:textId="77777777">
    <w:pPr>
      <w:pStyle w:val="896"/>
      <w:pBdr/>
      <w:spacing/>
      <w:ind/>
      <w:rPr/>
    </w:pPr>
    <w:r/>
    <w:r/>
  </w:p>
  <w:p w14:paraId="1E103C79" w14:textId="77777777">
    <w:pPr>
      <w:pStyle w:val="89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786B0944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292C5C7B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2C4B37D" w14:textId="547B12A0">
    <w:pPr>
      <w:pStyle w:val="104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550" cy="5429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549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50pt;height:42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</w:p>
  <w:p w14:paraId="2F26AD56" w14:textId="77777777">
    <w:pPr>
      <w:pStyle w:val="104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</w:p>
  <w:p w14:paraId="79D4776F" w14:textId="77777777">
    <w:pPr>
      <w:pStyle w:val="104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</w:p>
  <w:p w14:paraId="66F6CA31" w14:textId="77777777">
    <w:pPr>
      <w:pStyle w:val="104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</w:p>
  <w:p w14:paraId="24B7B728" w14:textId="77777777">
    <w:pPr>
      <w:pStyle w:val="104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</w:p>
  <w:p w14:paraId="36FA4EF3" w14:textId="77777777">
    <w:pPr>
      <w:pStyle w:val="104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3BB39CD0" w14:textId="77777777">
    <w:pPr>
      <w:pStyle w:val="1044"/>
      <w:pBdr/>
      <w:tabs>
        <w:tab w:val="left" w:leader="none" w:pos="3041"/>
        <w:tab w:val="clear" w:leader="none" w:pos="4419"/>
        <w:tab w:val="clear" w:leader="none" w:pos="8838"/>
      </w:tabs>
      <w:spacing/>
      <w:ind/>
      <w:rPr/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97FE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nsid w:val="065A564A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nsid w:val="0A2157E4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0C7E77AC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12F61B3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146342A0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15D24A55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nsid w:val="171D6F32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20C55D04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nsid w:val="239E1055"/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0">
    <w:nsid w:val="265E2D3B"/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nsid w:val="282019D7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286A225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nsid w:val="2E180F78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4">
    <w:nsid w:val="2E344809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5">
    <w:nsid w:val="338E162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nsid w:val="3B6253E6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nsid w:val="3C2F0646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nsid w:val="3F793805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nsid w:val="4B721743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nsid w:val="59001584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nsid w:val="5981706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nsid w:val="5FA80055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3">
    <w:nsid w:val="62C3242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4">
    <w:nsid w:val="635750ED"/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25">
    <w:nsid w:val="65177F5B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6">
    <w:nsid w:val="6B3D909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7">
    <w:nsid w:val="77083C70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8">
    <w:nsid w:val="79A15E29"/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9">
    <w:nsid w:val="7EF42B2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5"/>
  </w:num>
  <w:num w:numId="2">
    <w:abstractNumId w:val="14"/>
  </w:num>
  <w:num w:numId="3">
    <w:abstractNumId w:val="25"/>
  </w:num>
  <w:num w:numId="4">
    <w:abstractNumId w:val="2"/>
  </w:num>
  <w:num w:numId="5">
    <w:abstractNumId w:val="11"/>
  </w:num>
  <w:num w:numId="6">
    <w:abstractNumId w:val="6"/>
  </w:num>
  <w:num w:numId="7">
    <w:abstractNumId w:val="13"/>
  </w:num>
  <w:num w:numId="8">
    <w:abstractNumId w:val="7"/>
  </w:num>
  <w:num w:numId="9">
    <w:abstractNumId w:val="16"/>
  </w:num>
  <w:num w:numId="10">
    <w:abstractNumId w:val="8"/>
  </w:num>
  <w:num w:numId="11">
    <w:abstractNumId w:val="3"/>
  </w:num>
  <w:num w:numId="12">
    <w:abstractNumId w:val="28"/>
  </w:num>
  <w:num w:numId="13">
    <w:abstractNumId w:val="27"/>
  </w:num>
  <w:num w:numId="14">
    <w:abstractNumId w:val="19"/>
  </w:num>
  <w:num w:numId="15">
    <w:abstractNumId w:val="18"/>
  </w:num>
  <w:num w:numId="16">
    <w:abstractNumId w:val="17"/>
  </w:num>
  <w:num w:numId="17">
    <w:abstractNumId w:val="22"/>
  </w:num>
  <w:num w:numId="18">
    <w:abstractNumId w:val="15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1"/>
  </w:num>
  <w:num w:numId="22">
    <w:abstractNumId w:val="12"/>
  </w:num>
  <w:num w:numId="23">
    <w:abstractNumId w:val="20"/>
  </w:num>
  <w:num w:numId="24">
    <w:abstractNumId w:val="24"/>
  </w:num>
  <w:num w:numId="25">
    <w:abstractNumId w:val="21"/>
  </w:num>
  <w:num w:numId="26">
    <w:abstractNumId w:val="9"/>
  </w:num>
  <w:num w:numId="27">
    <w:abstractNumId w:val="26"/>
  </w:num>
  <w:num w:numId="28">
    <w:abstractNumId w:val="4"/>
  </w:num>
  <w:num w:numId="29">
    <w:abstractNumId w:val="0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8" w:default="1">
    <w:name w:val="Normal"/>
    <w:qFormat/>
    <w:pPr>
      <w:pBdr/>
      <w:spacing/>
      <w:ind/>
    </w:pPr>
    <w:rPr>
      <w:sz w:val="24"/>
      <w:szCs w:val="24"/>
    </w:rPr>
  </w:style>
  <w:style w:type="paragraph" w:styleId="839">
    <w:name w:val="Heading 1"/>
    <w:basedOn w:val="838"/>
    <w:next w:val="838"/>
    <w:link w:val="875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840">
    <w:name w:val="Heading 2"/>
    <w:basedOn w:val="838"/>
    <w:next w:val="838"/>
    <w:link w:val="876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41">
    <w:name w:val="Heading 3"/>
    <w:basedOn w:val="838"/>
    <w:next w:val="838"/>
    <w:link w:val="87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42">
    <w:name w:val="Heading 4"/>
    <w:basedOn w:val="838"/>
    <w:next w:val="838"/>
    <w:link w:val="87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43">
    <w:name w:val="Heading 5"/>
    <w:basedOn w:val="838"/>
    <w:next w:val="838"/>
    <w:link w:val="87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844">
    <w:name w:val="Heading 6"/>
    <w:basedOn w:val="838"/>
    <w:next w:val="838"/>
    <w:link w:val="88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45">
    <w:name w:val="Heading 7"/>
    <w:basedOn w:val="838"/>
    <w:next w:val="838"/>
    <w:link w:val="88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46">
    <w:name w:val="Heading 8"/>
    <w:basedOn w:val="838"/>
    <w:next w:val="838"/>
    <w:link w:val="88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47">
    <w:name w:val="Heading 9"/>
    <w:basedOn w:val="838"/>
    <w:next w:val="838"/>
    <w:link w:val="883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8" w:default="1">
    <w:name w:val="Default Paragraph Font"/>
    <w:uiPriority w:val="1"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character" w:styleId="851" w:customStyle="1">
    <w:name w:val="Heading 1 Char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52" w:customStyle="1">
    <w:name w:val="Heading 2 Char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53" w:customStyle="1">
    <w:name w:val="Heading 3 Char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54" w:customStyle="1">
    <w:name w:val="Heading 4 Char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55" w:customStyle="1">
    <w:name w:val="Heading 5 Char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56" w:customStyle="1">
    <w:name w:val="Heading 6 Char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57" w:customStyle="1">
    <w:name w:val="Heading 7 Char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58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59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60" w:customStyle="1">
    <w:name w:val="Subtitle Char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character" w:styleId="861" w:customStyle="1">
    <w:name w:val="Quote Char"/>
    <w:uiPriority w:val="29"/>
    <w:pPr>
      <w:pBdr/>
      <w:spacing/>
      <w:ind/>
    </w:pPr>
    <w:rPr>
      <w:i/>
      <w:iCs/>
      <w:color w:val="404040"/>
    </w:rPr>
  </w:style>
  <w:style w:type="character" w:styleId="862" w:customStyle="1">
    <w:name w:val="Intense Quote Char"/>
    <w:uiPriority w:val="30"/>
    <w:pPr>
      <w:pBdr/>
      <w:spacing/>
      <w:ind/>
    </w:pPr>
    <w:rPr>
      <w:i/>
      <w:iCs/>
      <w:color w:val="365f91"/>
    </w:rPr>
  </w:style>
  <w:style w:type="character" w:styleId="863" w:customStyle="1">
    <w:name w:val="Header Char"/>
    <w:basedOn w:val="848"/>
    <w:uiPriority w:val="99"/>
    <w:pPr>
      <w:pBdr/>
      <w:spacing/>
      <w:ind/>
    </w:pPr>
  </w:style>
  <w:style w:type="character" w:styleId="864" w:customStyle="1">
    <w:name w:val="Footnote Text Char"/>
    <w:uiPriority w:val="99"/>
    <w:semiHidden/>
    <w:pPr>
      <w:pBdr/>
      <w:spacing/>
      <w:ind/>
    </w:pPr>
    <w:rPr>
      <w:sz w:val="20"/>
      <w:szCs w:val="20"/>
    </w:rPr>
  </w:style>
  <w:style w:type="character" w:styleId="865" w:customStyle="1">
    <w:name w:val="Endnote Text Char"/>
    <w:uiPriority w:val="99"/>
    <w:semiHidden/>
    <w:pPr>
      <w:pBdr/>
      <w:spacing/>
      <w:ind/>
    </w:pPr>
    <w:rPr>
      <w:sz w:val="20"/>
      <w:szCs w:val="20"/>
    </w:rPr>
  </w:style>
  <w:style w:type="character" w:styleId="866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867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68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869">
    <w:name w:val="Emphasis"/>
    <w:uiPriority w:val="20"/>
    <w:qFormat/>
    <w:pPr>
      <w:pBdr/>
      <w:spacing/>
      <w:ind/>
    </w:pPr>
    <w:rPr>
      <w:i/>
      <w:iCs/>
    </w:rPr>
  </w:style>
  <w:style w:type="character" w:styleId="870">
    <w:name w:val="Strong"/>
    <w:uiPriority w:val="22"/>
    <w:qFormat/>
    <w:pPr>
      <w:pBdr/>
      <w:spacing/>
      <w:ind/>
    </w:pPr>
    <w:rPr>
      <w:b/>
      <w:bCs/>
    </w:rPr>
  </w:style>
  <w:style w:type="character" w:styleId="871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872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73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character" w:styleId="874">
    <w:name w:val="Placeholder Text"/>
    <w:uiPriority w:val="99"/>
    <w:semiHidden/>
    <w:pPr>
      <w:pBdr/>
      <w:spacing/>
      <w:ind/>
    </w:pPr>
    <w:rPr>
      <w:color w:val="666666"/>
    </w:rPr>
  </w:style>
  <w:style w:type="character" w:styleId="875" w:customStyle="1">
    <w:name w:val="Título 1 Caráter"/>
    <w:link w:val="83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76" w:customStyle="1">
    <w:name w:val="Título 2 Caráter"/>
    <w:link w:val="84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77" w:customStyle="1">
    <w:name w:val="Título 3 Caráter"/>
    <w:link w:val="84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78" w:customStyle="1">
    <w:name w:val="Título 4 Caráter"/>
    <w:link w:val="84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79" w:customStyle="1">
    <w:name w:val="Título 5 Caráter"/>
    <w:link w:val="84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80" w:customStyle="1">
    <w:name w:val="Título 6 Caráter"/>
    <w:link w:val="84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81" w:customStyle="1">
    <w:name w:val="Título 7 Caráter"/>
    <w:link w:val="84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82" w:customStyle="1">
    <w:name w:val="Título 8 Caráter"/>
    <w:link w:val="84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83" w:customStyle="1">
    <w:name w:val="Título 9 Caráter"/>
    <w:link w:val="84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84">
    <w:name w:val="List Paragraph"/>
    <w:basedOn w:val="838"/>
    <w:uiPriority w:val="34"/>
    <w:qFormat/>
    <w:pPr>
      <w:pBdr/>
      <w:spacing/>
      <w:ind w:left="708"/>
    </w:pPr>
  </w:style>
  <w:style w:type="paragraph" w:styleId="885">
    <w:name w:val="No Spacing"/>
    <w:uiPriority w:val="1"/>
    <w:qFormat/>
    <w:pPr>
      <w:pBdr/>
      <w:spacing/>
      <w:ind/>
    </w:pPr>
    <w:rPr>
      <w:lang w:eastAsia="zh-CN"/>
    </w:rPr>
  </w:style>
  <w:style w:type="paragraph" w:styleId="886">
    <w:name w:val="Title"/>
    <w:basedOn w:val="838"/>
    <w:link w:val="1053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887" w:customStyle="1">
    <w:name w:val="Title Char"/>
    <w:uiPriority w:val="10"/>
    <w:pPr>
      <w:pBdr/>
      <w:spacing/>
      <w:ind/>
    </w:pPr>
    <w:rPr>
      <w:sz w:val="48"/>
      <w:szCs w:val="48"/>
    </w:rPr>
  </w:style>
  <w:style w:type="paragraph" w:styleId="888">
    <w:name w:val="Subtitle"/>
    <w:basedOn w:val="838"/>
    <w:next w:val="838"/>
    <w:link w:val="889"/>
    <w:uiPriority w:val="11"/>
    <w:qFormat/>
    <w:pPr>
      <w:pBdr/>
      <w:spacing w:after="200" w:before="200"/>
      <w:ind/>
    </w:pPr>
  </w:style>
  <w:style w:type="character" w:styleId="889" w:customStyle="1">
    <w:name w:val="Subtítulo Caráter"/>
    <w:link w:val="888"/>
    <w:uiPriority w:val="11"/>
    <w:pPr>
      <w:pBdr/>
      <w:spacing/>
      <w:ind/>
    </w:pPr>
    <w:rPr>
      <w:sz w:val="24"/>
      <w:szCs w:val="24"/>
    </w:rPr>
  </w:style>
  <w:style w:type="paragraph" w:styleId="890">
    <w:name w:val="Quote"/>
    <w:basedOn w:val="838"/>
    <w:next w:val="838"/>
    <w:link w:val="891"/>
    <w:uiPriority w:val="29"/>
    <w:qFormat/>
    <w:pPr>
      <w:pBdr/>
      <w:spacing/>
      <w:ind w:right="720" w:left="720"/>
    </w:pPr>
    <w:rPr>
      <w:i/>
    </w:rPr>
  </w:style>
  <w:style w:type="character" w:styleId="891" w:customStyle="1">
    <w:name w:val="Citação Caráter"/>
    <w:link w:val="890"/>
    <w:uiPriority w:val="29"/>
    <w:pPr>
      <w:pBdr/>
      <w:spacing/>
      <w:ind/>
    </w:pPr>
    <w:rPr>
      <w:i/>
    </w:rPr>
  </w:style>
  <w:style w:type="paragraph" w:styleId="892">
    <w:name w:val="Intense Quote"/>
    <w:basedOn w:val="838"/>
    <w:next w:val="838"/>
    <w:link w:val="89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93" w:customStyle="1">
    <w:name w:val="Citação Intensa Caráter"/>
    <w:link w:val="892"/>
    <w:uiPriority w:val="30"/>
    <w:pPr>
      <w:pBdr/>
      <w:spacing/>
      <w:ind/>
    </w:pPr>
    <w:rPr>
      <w:i/>
    </w:rPr>
  </w:style>
  <w:style w:type="paragraph" w:styleId="894">
    <w:name w:val="Header"/>
    <w:basedOn w:val="838"/>
    <w:link w:val="895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95" w:customStyle="1">
    <w:name w:val="Cabeçalho Caráter"/>
    <w:link w:val="894"/>
    <w:uiPriority w:val="99"/>
    <w:pPr>
      <w:pBdr/>
      <w:spacing/>
      <w:ind/>
    </w:pPr>
  </w:style>
  <w:style w:type="paragraph" w:styleId="896">
    <w:name w:val="Footer"/>
    <w:basedOn w:val="838"/>
    <w:link w:val="1059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897" w:customStyle="1">
    <w:name w:val="Footer Char"/>
    <w:uiPriority w:val="99"/>
    <w:pPr>
      <w:pBdr/>
      <w:spacing/>
      <w:ind/>
    </w:pPr>
  </w:style>
  <w:style w:type="paragraph" w:styleId="898">
    <w:name w:val="Caption"/>
    <w:basedOn w:val="838"/>
    <w:next w:val="83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99" w:customStyle="1">
    <w:name w:val="Caption Char"/>
    <w:uiPriority w:val="99"/>
    <w:pPr>
      <w:pBdr/>
      <w:spacing/>
      <w:ind/>
    </w:pPr>
  </w:style>
  <w:style w:type="table" w:styleId="900">
    <w:name w:val="Table Grid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Table Grid Light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1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Plain Table 2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Plain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Plain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Plain Table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1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4 - Accent 2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4 - Accent 3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4 - Accent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4 - Accent 5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4 - Accent 6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5 Dark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4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4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4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4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4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5 Dark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bottom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bottom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bottom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bottom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bottom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bottom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bottom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&amp; 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&amp; 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&amp; 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&amp; 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&amp; 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6">
    <w:name w:val="footnote text"/>
    <w:basedOn w:val="838"/>
    <w:link w:val="1027"/>
    <w:uiPriority w:val="99"/>
    <w:semiHidden/>
    <w:unhideWhenUsed/>
    <w:pPr>
      <w:pBdr/>
      <w:spacing w:after="40"/>
      <w:ind/>
    </w:pPr>
    <w:rPr>
      <w:sz w:val="18"/>
    </w:rPr>
  </w:style>
  <w:style w:type="character" w:styleId="1027" w:customStyle="1">
    <w:name w:val="Texto de nota de rodapé Caráter"/>
    <w:link w:val="1026"/>
    <w:uiPriority w:val="99"/>
    <w:pPr>
      <w:pBdr/>
      <w:spacing/>
      <w:ind/>
    </w:pPr>
    <w:rPr>
      <w:sz w:val="18"/>
    </w:rPr>
  </w:style>
  <w:style w:type="character" w:styleId="1028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1029">
    <w:name w:val="endnote text"/>
    <w:basedOn w:val="838"/>
    <w:link w:val="1030"/>
    <w:uiPriority w:val="99"/>
    <w:semiHidden/>
    <w:unhideWhenUsed/>
    <w:pPr>
      <w:pBdr/>
      <w:spacing/>
      <w:ind/>
    </w:pPr>
    <w:rPr>
      <w:sz w:val="20"/>
    </w:rPr>
  </w:style>
  <w:style w:type="character" w:styleId="1030" w:customStyle="1">
    <w:name w:val="Texto de nota de fim Caráter"/>
    <w:link w:val="1029"/>
    <w:uiPriority w:val="99"/>
    <w:pPr>
      <w:pBdr/>
      <w:spacing/>
      <w:ind/>
    </w:pPr>
    <w:rPr>
      <w:sz w:val="20"/>
    </w:rPr>
  </w:style>
  <w:style w:type="character" w:styleId="1031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1032">
    <w:name w:val="toc 1"/>
    <w:basedOn w:val="838"/>
    <w:next w:val="838"/>
    <w:uiPriority w:val="39"/>
    <w:unhideWhenUsed/>
    <w:pPr>
      <w:pBdr/>
      <w:spacing w:after="57"/>
      <w:ind/>
    </w:pPr>
  </w:style>
  <w:style w:type="paragraph" w:styleId="1033">
    <w:name w:val="toc 2"/>
    <w:basedOn w:val="838"/>
    <w:next w:val="838"/>
    <w:uiPriority w:val="39"/>
    <w:unhideWhenUsed/>
    <w:pPr>
      <w:pBdr/>
      <w:spacing w:after="57"/>
      <w:ind w:left="283"/>
    </w:pPr>
  </w:style>
  <w:style w:type="paragraph" w:styleId="1034">
    <w:name w:val="toc 3"/>
    <w:basedOn w:val="838"/>
    <w:next w:val="838"/>
    <w:uiPriority w:val="39"/>
    <w:unhideWhenUsed/>
    <w:pPr>
      <w:pBdr/>
      <w:spacing w:after="57"/>
      <w:ind w:left="567"/>
    </w:pPr>
  </w:style>
  <w:style w:type="paragraph" w:styleId="1035">
    <w:name w:val="toc 4"/>
    <w:basedOn w:val="838"/>
    <w:next w:val="838"/>
    <w:uiPriority w:val="39"/>
    <w:unhideWhenUsed/>
    <w:pPr>
      <w:pBdr/>
      <w:spacing w:after="57"/>
      <w:ind w:left="850"/>
    </w:pPr>
  </w:style>
  <w:style w:type="paragraph" w:styleId="1036">
    <w:name w:val="toc 5"/>
    <w:basedOn w:val="838"/>
    <w:next w:val="838"/>
    <w:uiPriority w:val="39"/>
    <w:unhideWhenUsed/>
    <w:pPr>
      <w:pBdr/>
      <w:spacing w:after="57"/>
      <w:ind w:left="1134"/>
    </w:pPr>
  </w:style>
  <w:style w:type="paragraph" w:styleId="1037">
    <w:name w:val="toc 6"/>
    <w:basedOn w:val="838"/>
    <w:next w:val="838"/>
    <w:uiPriority w:val="39"/>
    <w:unhideWhenUsed/>
    <w:pPr>
      <w:pBdr/>
      <w:spacing w:after="57"/>
      <w:ind w:left="1417"/>
    </w:pPr>
  </w:style>
  <w:style w:type="paragraph" w:styleId="1038">
    <w:name w:val="toc 7"/>
    <w:basedOn w:val="838"/>
    <w:next w:val="838"/>
    <w:uiPriority w:val="39"/>
    <w:unhideWhenUsed/>
    <w:pPr>
      <w:pBdr/>
      <w:spacing w:after="57"/>
      <w:ind w:left="1701"/>
    </w:pPr>
  </w:style>
  <w:style w:type="paragraph" w:styleId="1039">
    <w:name w:val="toc 8"/>
    <w:basedOn w:val="838"/>
    <w:next w:val="838"/>
    <w:uiPriority w:val="39"/>
    <w:unhideWhenUsed/>
    <w:pPr>
      <w:pBdr/>
      <w:spacing w:after="57"/>
      <w:ind w:left="1984"/>
    </w:pPr>
  </w:style>
  <w:style w:type="paragraph" w:styleId="1040">
    <w:name w:val="toc 9"/>
    <w:basedOn w:val="838"/>
    <w:next w:val="838"/>
    <w:uiPriority w:val="39"/>
    <w:unhideWhenUsed/>
    <w:pPr>
      <w:pBdr/>
      <w:spacing w:after="57"/>
      <w:ind w:left="2268"/>
    </w:pPr>
  </w:style>
  <w:style w:type="paragraph" w:styleId="1041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1042">
    <w:name w:val="table of figures"/>
    <w:basedOn w:val="838"/>
    <w:next w:val="838"/>
    <w:uiPriority w:val="99"/>
    <w:unhideWhenUsed/>
    <w:pPr>
      <w:pBdr/>
      <w:spacing/>
      <w:ind/>
    </w:pPr>
  </w:style>
  <w:style w:type="character" w:styleId="1043" w:customStyle="1">
    <w:name w:val="Fonte parág. padrão"/>
    <w:semiHidden/>
    <w:pPr>
      <w:pBdr/>
      <w:spacing/>
      <w:ind/>
    </w:pPr>
  </w:style>
  <w:style w:type="paragraph" w:styleId="1044" w:customStyle="1">
    <w:name w:val="Cabeçalho;Cabeçalho superior;Heading 1a"/>
    <w:basedOn w:val="838"/>
    <w:link w:val="1056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45">
    <w:name w:val="Body Text"/>
    <w:basedOn w:val="838"/>
    <w:pPr>
      <w:pBdr/>
      <w:spacing/>
      <w:ind/>
      <w:jc w:val="both"/>
    </w:pPr>
  </w:style>
  <w:style w:type="paragraph" w:styleId="1046" w:customStyle="1">
    <w:name w:val="Recuo de corpo de texto"/>
    <w:basedOn w:val="838"/>
    <w:pPr>
      <w:pBdr/>
      <w:spacing/>
      <w:ind w:left="3960"/>
    </w:pPr>
  </w:style>
  <w:style w:type="paragraph" w:styleId="1047">
    <w:name w:val="Body Text 2"/>
    <w:basedOn w:val="83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48" w:customStyle="1">
    <w:name w:val="p21"/>
    <w:basedOn w:val="83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49" w:customStyle="1">
    <w:name w:val="Recuo de corpo de texto 2"/>
    <w:basedOn w:val="83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50" w:customStyle="1">
    <w:name w:val="Recuo de corpo de texto 3"/>
    <w:basedOn w:val="83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51">
    <w:name w:val="Body Text 3"/>
    <w:basedOn w:val="838"/>
    <w:pPr>
      <w:pBdr/>
      <w:spacing/>
      <w:ind/>
      <w:jc w:val="both"/>
    </w:pPr>
    <w:rPr>
      <w:rFonts w:ascii="Arial" w:hAnsi="Arial" w:cs="Arial"/>
      <w:b/>
      <w:bCs/>
    </w:rPr>
  </w:style>
  <w:style w:type="table" w:styleId="1052" w:customStyle="1">
    <w:name w:val="Tabela com grade"/>
    <w:basedOn w:val="84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53" w:customStyle="1">
    <w:name w:val="Título Caráter"/>
    <w:link w:val="886"/>
    <w:pPr>
      <w:pBdr/>
      <w:spacing/>
      <w:ind/>
    </w:pPr>
    <w:rPr>
      <w:b/>
      <w:bCs/>
      <w:sz w:val="28"/>
      <w:szCs w:val="28"/>
    </w:rPr>
  </w:style>
  <w:style w:type="paragraph" w:styleId="1054" w:customStyle="1">
    <w:name w:val="Texto sem Formatação"/>
    <w:basedOn w:val="838"/>
    <w:link w:val="1055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55" w:customStyle="1">
    <w:name w:val="Texto sem Formatação Char"/>
    <w:link w:val="1054"/>
    <w:pPr>
      <w:pBdr/>
      <w:spacing/>
      <w:ind/>
    </w:pPr>
    <w:rPr>
      <w:rFonts w:ascii="Courier New" w:hAnsi="Courier New"/>
    </w:rPr>
  </w:style>
  <w:style w:type="character" w:styleId="1056" w:customStyle="1">
    <w:name w:val="Cabeçalho Char;Cabeçalho superior Char;Heading 1a Char"/>
    <w:basedOn w:val="1043"/>
    <w:link w:val="1044"/>
    <w:uiPriority w:val="99"/>
    <w:qFormat/>
    <w:pPr>
      <w:pBdr/>
      <w:spacing/>
      <w:ind/>
    </w:pPr>
  </w:style>
  <w:style w:type="paragraph" w:styleId="1057">
    <w:name w:val="Normal (Web)"/>
    <w:basedOn w:val="838"/>
    <w:uiPriority w:val="99"/>
    <w:unhideWhenUsed/>
    <w:pPr>
      <w:pBdr/>
      <w:spacing w:after="100" w:afterAutospacing="1" w:before="100" w:beforeAutospacing="1"/>
      <w:ind/>
    </w:pPr>
  </w:style>
  <w:style w:type="character" w:styleId="1058" w:customStyle="1">
    <w:name w:val="textojustificado"/>
    <w:basedOn w:val="1043"/>
    <w:pPr>
      <w:pBdr/>
      <w:spacing/>
      <w:ind/>
    </w:pPr>
  </w:style>
  <w:style w:type="character" w:styleId="1059" w:customStyle="1">
    <w:name w:val="Rodapé Caráter"/>
    <w:link w:val="896"/>
    <w:uiPriority w:val="99"/>
    <w:pPr>
      <w:pBdr/>
      <w:spacing/>
      <w:ind/>
    </w:pPr>
    <w:rPr>
      <w:sz w:val="24"/>
      <w:szCs w:val="24"/>
    </w:rPr>
  </w:style>
  <w:style w:type="character" w:styleId="1060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1061" w:customStyle="1">
    <w:name w:val="lrzxr"/>
    <w:basedOn w:val="1043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25</cp:revision>
  <dcterms:created xsi:type="dcterms:W3CDTF">2025-02-07T20:32:00Z</dcterms:created>
  <dcterms:modified xsi:type="dcterms:W3CDTF">2026-04-29T12:47:35Z</dcterms:modified>
  <cp:version>1048576</cp:version>
</cp:coreProperties>
</file>