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69046B8F" w:rsidR="000662EA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PARECER DAS COMISSÕES PERMANENTES Nº 0</w:t>
      </w:r>
      <w:r w:rsidR="00C81405">
        <w:rPr>
          <w:rFonts w:ascii="Cambria" w:hAnsi="Cambria" w:cstheme="minorHAnsi"/>
          <w:b/>
          <w:bCs/>
          <w:sz w:val="22"/>
          <w:szCs w:val="22"/>
          <w:u w:val="single"/>
        </w:rPr>
        <w:t>1</w:t>
      </w:r>
      <w:r w:rsidR="00C06286">
        <w:rPr>
          <w:rFonts w:ascii="Cambria" w:hAnsi="Cambria" w:cstheme="minorHAnsi"/>
          <w:b/>
          <w:bCs/>
          <w:sz w:val="22"/>
          <w:szCs w:val="22"/>
          <w:u w:val="single"/>
        </w:rPr>
        <w:t>8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/202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6</w:t>
      </w:r>
    </w:p>
    <w:p w14:paraId="26A61A0D" w14:textId="77777777" w:rsidR="00C055ED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790DA46B" w14:textId="23D9ED22" w:rsidR="00C81405" w:rsidRDefault="00C06286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C06286">
        <w:rPr>
          <w:rFonts w:ascii="Cambria" w:hAnsi="Cambria" w:cstheme="minorHAnsi" w:hint="eastAsia"/>
          <w:b/>
          <w:bCs/>
          <w:sz w:val="22"/>
          <w:szCs w:val="22"/>
        </w:rPr>
        <w:t>Projeto de Lei Complementar n</w:t>
      </w:r>
      <w:r w:rsidRPr="00C06286">
        <w:rPr>
          <w:rFonts w:ascii="Cambria" w:hAnsi="Cambria" w:cstheme="minorHAnsi" w:hint="eastAsia"/>
          <w:b/>
          <w:bCs/>
          <w:sz w:val="22"/>
          <w:szCs w:val="22"/>
        </w:rPr>
        <w:t>º</w:t>
      </w:r>
      <w:r w:rsidRPr="00C06286">
        <w:rPr>
          <w:rFonts w:ascii="Cambria" w:hAnsi="Cambria" w:cstheme="minorHAnsi" w:hint="eastAsia"/>
          <w:b/>
          <w:bCs/>
          <w:sz w:val="22"/>
          <w:szCs w:val="22"/>
        </w:rPr>
        <w:t xml:space="preserve"> 003/2026</w:t>
      </w:r>
    </w:p>
    <w:p w14:paraId="124A5394" w14:textId="77777777" w:rsidR="00C06286" w:rsidRDefault="00C06286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C06286">
        <w:rPr>
          <w:rFonts w:ascii="Cambria" w:hAnsi="Cambria" w:cstheme="minorHAnsi"/>
          <w:b/>
          <w:bCs/>
          <w:sz w:val="22"/>
          <w:szCs w:val="22"/>
        </w:rPr>
        <w:t xml:space="preserve">Autoria: </w:t>
      </w:r>
      <w:r w:rsidRPr="00C06286">
        <w:rPr>
          <w:rFonts w:ascii="Cambria" w:hAnsi="Cambria" w:cstheme="minorHAnsi"/>
          <w:sz w:val="22"/>
          <w:szCs w:val="22"/>
        </w:rPr>
        <w:t>Poder Executivo Municipal</w:t>
      </w:r>
    </w:p>
    <w:p w14:paraId="47A0163E" w14:textId="475FB126" w:rsidR="00AC61C5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Ementa</w:t>
      </w:r>
      <w:r w:rsidR="00D8612B">
        <w:rPr>
          <w:rFonts w:ascii="Cambria" w:hAnsi="Cambria" w:cstheme="minorHAnsi"/>
          <w:b/>
          <w:bCs/>
          <w:sz w:val="22"/>
          <w:szCs w:val="22"/>
        </w:rPr>
        <w:t>:</w:t>
      </w:r>
      <w:r w:rsidR="004E37C2" w:rsidRPr="004E37C2">
        <w:t xml:space="preserve"> </w:t>
      </w:r>
      <w:r w:rsidR="00C06286" w:rsidRPr="00C06286">
        <w:rPr>
          <w:rFonts w:ascii="Cambria" w:hAnsi="Cambria" w:cstheme="minorHAnsi"/>
          <w:sz w:val="22"/>
          <w:szCs w:val="22"/>
        </w:rPr>
        <w:t>Estabelece a revisão dos vencimentos dos cargos em comissão e funções gratificadas municipais de Carnaúba dos Dantas/RN, altera a Lei Municipal nº 692/2011 e dá outras providências.</w:t>
      </w:r>
    </w:p>
    <w:p w14:paraId="2FD3E014" w14:textId="77777777" w:rsidR="004E37C2" w:rsidRPr="00107BD9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5144E" w14:textId="159F62F3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 - RELATÓRIO</w:t>
      </w:r>
    </w:p>
    <w:p w14:paraId="1AE6DEBC" w14:textId="77777777" w:rsidR="00C06286" w:rsidRPr="00C06286" w:rsidRDefault="00C06286" w:rsidP="00C06286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O Projeto de Lei Complementar nº 003/2026, de iniciativa do Poder Executivo Municipal, foi encaminhado a esta Casa Legislativa com a finalidade de promover a </w:t>
      </w:r>
      <w:r w:rsidRPr="00C06286">
        <w:rPr>
          <w:rFonts w:ascii="Cambria" w:hAnsi="Cambria" w:cstheme="minorHAnsi"/>
          <w:b/>
          <w:bCs/>
          <w:sz w:val="22"/>
          <w:szCs w:val="22"/>
        </w:rPr>
        <w:t>atualização dos vencimentos dos cargos em comissão e funções gratificadas</w:t>
      </w:r>
      <w:r w:rsidRPr="00C06286">
        <w:rPr>
          <w:rFonts w:ascii="Cambria" w:hAnsi="Cambria" w:cstheme="minorHAnsi"/>
          <w:sz w:val="22"/>
          <w:szCs w:val="22"/>
        </w:rPr>
        <w:t>, mediante alteração da Lei Municipal nº 692/2011.</w:t>
      </w:r>
    </w:p>
    <w:p w14:paraId="25FB9D27" w14:textId="77777777" w:rsidR="00C06286" w:rsidRPr="00C06286" w:rsidRDefault="00C06286" w:rsidP="00C06286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A proposição visa adequar os valores remuneratórios dos referidos cargos à realidade econômica atual, promovendo </w:t>
      </w:r>
      <w:r w:rsidRPr="00C06286">
        <w:rPr>
          <w:rFonts w:ascii="Cambria" w:hAnsi="Cambria" w:cstheme="minorHAnsi"/>
          <w:b/>
          <w:bCs/>
          <w:sz w:val="22"/>
          <w:szCs w:val="22"/>
        </w:rPr>
        <w:t>recomposição financeira</w:t>
      </w:r>
      <w:r w:rsidRPr="00C06286">
        <w:rPr>
          <w:rFonts w:ascii="Cambria" w:hAnsi="Cambria" w:cstheme="minorHAnsi"/>
          <w:sz w:val="22"/>
          <w:szCs w:val="22"/>
        </w:rPr>
        <w:t>, conforme justificativa apresentada.</w:t>
      </w:r>
    </w:p>
    <w:p w14:paraId="40C8A641" w14:textId="77777777" w:rsidR="00C06286" w:rsidRPr="00C06286" w:rsidRDefault="00C06286" w:rsidP="00C06286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Durante a análise da matéria, foram identificados pontos que demandam </w:t>
      </w:r>
      <w:r w:rsidRPr="00C06286">
        <w:rPr>
          <w:rFonts w:ascii="Cambria" w:hAnsi="Cambria" w:cstheme="minorHAnsi"/>
          <w:b/>
          <w:bCs/>
          <w:sz w:val="22"/>
          <w:szCs w:val="22"/>
        </w:rPr>
        <w:t>ajustes de natureza jurídica e de técnica legislativa</w:t>
      </w:r>
      <w:r w:rsidRPr="00C06286">
        <w:rPr>
          <w:rFonts w:ascii="Cambria" w:hAnsi="Cambria" w:cstheme="minorHAnsi"/>
          <w:sz w:val="22"/>
          <w:szCs w:val="22"/>
        </w:rPr>
        <w:t xml:space="preserve">, especialmente quanto à </w:t>
      </w:r>
      <w:r w:rsidRPr="00C06286">
        <w:rPr>
          <w:rFonts w:ascii="Cambria" w:hAnsi="Cambria" w:cstheme="minorHAnsi"/>
          <w:b/>
          <w:bCs/>
          <w:sz w:val="22"/>
          <w:szCs w:val="22"/>
        </w:rPr>
        <w:t>espécie normativa adotada</w:t>
      </w:r>
      <w:r w:rsidRPr="00C06286">
        <w:rPr>
          <w:rFonts w:ascii="Cambria" w:hAnsi="Cambria" w:cstheme="minorHAnsi"/>
          <w:sz w:val="22"/>
          <w:szCs w:val="22"/>
        </w:rPr>
        <w:t xml:space="preserve">, à </w:t>
      </w:r>
      <w:r w:rsidRPr="00C06286">
        <w:rPr>
          <w:rFonts w:ascii="Cambria" w:hAnsi="Cambria" w:cstheme="minorHAnsi"/>
          <w:b/>
          <w:bCs/>
          <w:sz w:val="22"/>
          <w:szCs w:val="22"/>
        </w:rPr>
        <w:t>terminologia empregada</w:t>
      </w:r>
      <w:r w:rsidRPr="00C06286">
        <w:rPr>
          <w:rFonts w:ascii="Cambria" w:hAnsi="Cambria" w:cstheme="minorHAnsi"/>
          <w:sz w:val="22"/>
          <w:szCs w:val="22"/>
        </w:rPr>
        <w:t xml:space="preserve"> e à </w:t>
      </w:r>
      <w:r w:rsidRPr="00C06286">
        <w:rPr>
          <w:rFonts w:ascii="Cambria" w:hAnsi="Cambria" w:cstheme="minorHAnsi"/>
          <w:b/>
          <w:bCs/>
          <w:sz w:val="22"/>
          <w:szCs w:val="22"/>
        </w:rPr>
        <w:t>organização do texto legal</w:t>
      </w:r>
      <w:r w:rsidRPr="00C06286">
        <w:rPr>
          <w:rFonts w:ascii="Cambria" w:hAnsi="Cambria" w:cstheme="minorHAnsi"/>
          <w:sz w:val="22"/>
          <w:szCs w:val="22"/>
        </w:rPr>
        <w:t>.</w:t>
      </w:r>
    </w:p>
    <w:p w14:paraId="6C9ED138" w14:textId="77777777" w:rsidR="00C06286" w:rsidRPr="00C06286" w:rsidRDefault="00C06286" w:rsidP="00C06286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Diante disso, foi apresentada </w:t>
      </w:r>
      <w:r w:rsidRPr="00C06286">
        <w:rPr>
          <w:rFonts w:ascii="Cambria" w:hAnsi="Cambria" w:cstheme="minorHAnsi"/>
          <w:b/>
          <w:bCs/>
          <w:sz w:val="22"/>
          <w:szCs w:val="22"/>
        </w:rPr>
        <w:t>Emenda Modificativa</w:t>
      </w:r>
      <w:r w:rsidRPr="00C06286">
        <w:rPr>
          <w:rFonts w:ascii="Cambria" w:hAnsi="Cambria" w:cstheme="minorHAnsi"/>
          <w:sz w:val="22"/>
          <w:szCs w:val="22"/>
        </w:rPr>
        <w:t xml:space="preserve">, com o objetivo de promover </w:t>
      </w:r>
      <w:r w:rsidRPr="00C06286">
        <w:rPr>
          <w:rFonts w:ascii="Cambria" w:hAnsi="Cambria" w:cstheme="minorHAnsi"/>
          <w:b/>
          <w:bCs/>
          <w:sz w:val="22"/>
          <w:szCs w:val="22"/>
        </w:rPr>
        <w:t>adequações formais, sem alteração do conteúdo material da proposição</w:t>
      </w:r>
      <w:r w:rsidRPr="00C06286">
        <w:rPr>
          <w:rFonts w:ascii="Cambria" w:hAnsi="Cambria" w:cstheme="minorHAnsi"/>
          <w:sz w:val="22"/>
          <w:szCs w:val="22"/>
        </w:rPr>
        <w:t>, viabilizando sua regular tramitação.</w:t>
      </w:r>
    </w:p>
    <w:p w14:paraId="78846DBF" w14:textId="77777777" w:rsidR="00C06286" w:rsidRPr="00C06286" w:rsidRDefault="00C06286" w:rsidP="00573E41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514157E8" w14:textId="2F26A493" w:rsidR="00C055ED" w:rsidRDefault="00D8612B" w:rsidP="00573E41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8612B">
        <w:rPr>
          <w:rFonts w:ascii="Cambria" w:hAnsi="Cambria" w:cstheme="minorHAnsi"/>
          <w:sz w:val="22"/>
          <w:szCs w:val="22"/>
        </w:rPr>
        <w:lastRenderedPageBreak/>
        <w:t xml:space="preserve">Nos termos dos </w:t>
      </w:r>
      <w:proofErr w:type="spellStart"/>
      <w:r w:rsidRPr="00D8612B">
        <w:rPr>
          <w:rFonts w:ascii="Cambria" w:hAnsi="Cambria" w:cstheme="minorHAnsi"/>
          <w:b/>
          <w:bCs/>
          <w:sz w:val="22"/>
          <w:szCs w:val="22"/>
        </w:rPr>
        <w:t>arts</w:t>
      </w:r>
      <w:proofErr w:type="spellEnd"/>
      <w:r w:rsidRPr="00D8612B">
        <w:rPr>
          <w:rFonts w:ascii="Cambria" w:hAnsi="Cambria" w:cstheme="minorHAnsi"/>
          <w:b/>
          <w:bCs/>
          <w:sz w:val="22"/>
          <w:szCs w:val="22"/>
        </w:rPr>
        <w:t>. 22 e 23</w:t>
      </w:r>
      <w:r w:rsidRPr="00D8612B">
        <w:rPr>
          <w:rFonts w:ascii="Cambria" w:hAnsi="Cambria" w:cstheme="minorHAnsi"/>
          <w:sz w:val="22"/>
          <w:szCs w:val="22"/>
        </w:rPr>
        <w:t xml:space="preserve"> do Regimento Interno da Câmara Municipal de Carnaúba dos Dantas/RN, a matéria foi devidamente distribuída à Comissão de Constituição, Justiça e Redação Final e à Comissão de Finanças e Orçamento para análise e emissão de parecer</w:t>
      </w:r>
      <w:r>
        <w:rPr>
          <w:rFonts w:ascii="Cambria" w:hAnsi="Cambria" w:cstheme="minorHAnsi"/>
          <w:sz w:val="22"/>
          <w:szCs w:val="22"/>
        </w:rPr>
        <w:t>.</w:t>
      </w:r>
    </w:p>
    <w:p w14:paraId="57B91CED" w14:textId="77777777" w:rsidR="00D8612B" w:rsidRPr="00107BD9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288F67A0" w14:textId="7A575827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 - ANÁLISE JURÍDICA </w:t>
      </w:r>
    </w:p>
    <w:p w14:paraId="2A86280A" w14:textId="77777777" w:rsidR="00C06286" w:rsidRPr="00C06286" w:rsidRDefault="00C06286" w:rsidP="00C06286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O Projeto de Lei Complementar nº 003/2026 versa sobre matéria de competência legislativa municipal, nos termos do </w:t>
      </w:r>
      <w:r w:rsidRPr="00C06286">
        <w:rPr>
          <w:rFonts w:ascii="Cambria" w:hAnsi="Cambria" w:cstheme="minorHAnsi"/>
          <w:b/>
          <w:bCs/>
          <w:sz w:val="22"/>
          <w:szCs w:val="22"/>
        </w:rPr>
        <w:t>art. 30, inciso I, da Constituição Federal</w:t>
      </w:r>
      <w:r w:rsidRPr="00C06286">
        <w:rPr>
          <w:rFonts w:ascii="Cambria" w:hAnsi="Cambria" w:cstheme="minorHAnsi"/>
          <w:sz w:val="22"/>
          <w:szCs w:val="22"/>
        </w:rPr>
        <w:t>.</w:t>
      </w:r>
    </w:p>
    <w:p w14:paraId="77BAC42C" w14:textId="77777777" w:rsidR="00C06286" w:rsidRPr="00C06286" w:rsidRDefault="00C06286" w:rsidP="00C06286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A iniciativa encontra respaldo no </w:t>
      </w:r>
      <w:r w:rsidRPr="00C06286">
        <w:rPr>
          <w:rFonts w:ascii="Cambria" w:hAnsi="Cambria" w:cstheme="minorHAnsi"/>
          <w:b/>
          <w:bCs/>
          <w:sz w:val="22"/>
          <w:szCs w:val="22"/>
        </w:rPr>
        <w:t>art. 61, §1º, inciso II, alínea “a”, da Constituição Federal</w:t>
      </w:r>
      <w:r w:rsidRPr="00C06286">
        <w:rPr>
          <w:rFonts w:ascii="Cambria" w:hAnsi="Cambria" w:cstheme="minorHAnsi"/>
          <w:sz w:val="22"/>
          <w:szCs w:val="22"/>
        </w:rPr>
        <w:t>, aplicável por simetria, por tratar de matéria relacionada à remuneração de cargos públicos.</w:t>
      </w:r>
    </w:p>
    <w:p w14:paraId="5304C332" w14:textId="77777777" w:rsidR="00C06286" w:rsidRPr="00C06286" w:rsidRDefault="00C06286" w:rsidP="00C06286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Todavia, verifica-se que a matéria disciplinada </w:t>
      </w:r>
      <w:r w:rsidRPr="00C06286">
        <w:rPr>
          <w:rFonts w:ascii="Cambria" w:hAnsi="Cambria" w:cstheme="minorHAnsi"/>
          <w:b/>
          <w:bCs/>
          <w:sz w:val="22"/>
          <w:szCs w:val="22"/>
        </w:rPr>
        <w:t>não se insere nas hipóteses constitucionalmente reservadas à Lei Complementar</w:t>
      </w:r>
      <w:r w:rsidRPr="00C06286">
        <w:rPr>
          <w:rFonts w:ascii="Cambria" w:hAnsi="Cambria" w:cstheme="minorHAnsi"/>
          <w:sz w:val="22"/>
          <w:szCs w:val="22"/>
        </w:rPr>
        <w:t xml:space="preserve">, tratando-se de conteúdo próprio de Lei Ordinária, nos termos do </w:t>
      </w:r>
      <w:r w:rsidRPr="00C06286">
        <w:rPr>
          <w:rFonts w:ascii="Cambria" w:hAnsi="Cambria" w:cstheme="minorHAnsi"/>
          <w:b/>
          <w:bCs/>
          <w:sz w:val="22"/>
          <w:szCs w:val="22"/>
        </w:rPr>
        <w:t>art. 48 do Regimento Interno desta Casa Legislativa</w:t>
      </w:r>
      <w:r w:rsidRPr="00C06286">
        <w:rPr>
          <w:rFonts w:ascii="Cambria" w:hAnsi="Cambria" w:cstheme="minorHAnsi"/>
          <w:sz w:val="22"/>
          <w:szCs w:val="22"/>
        </w:rPr>
        <w:t>.</w:t>
      </w:r>
    </w:p>
    <w:p w14:paraId="78C12EB3" w14:textId="77777777" w:rsidR="00C06286" w:rsidRPr="00C06286" w:rsidRDefault="00C06286" w:rsidP="00C06286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Nesse sentido, a manutenção da proposição sob a forma de Lei Complementar configura </w:t>
      </w:r>
      <w:r w:rsidRPr="00C06286">
        <w:rPr>
          <w:rFonts w:ascii="Cambria" w:hAnsi="Cambria" w:cstheme="minorHAnsi"/>
          <w:b/>
          <w:bCs/>
          <w:sz w:val="22"/>
          <w:szCs w:val="22"/>
        </w:rPr>
        <w:t>inadequação formal</w:t>
      </w:r>
      <w:r w:rsidRPr="00C06286">
        <w:rPr>
          <w:rFonts w:ascii="Cambria" w:hAnsi="Cambria" w:cstheme="minorHAnsi"/>
          <w:sz w:val="22"/>
          <w:szCs w:val="22"/>
        </w:rPr>
        <w:t xml:space="preserve">, razão pela qual foi apresentada </w:t>
      </w:r>
      <w:r w:rsidRPr="00C06286">
        <w:rPr>
          <w:rFonts w:ascii="Cambria" w:hAnsi="Cambria" w:cstheme="minorHAnsi"/>
          <w:b/>
          <w:bCs/>
          <w:sz w:val="22"/>
          <w:szCs w:val="22"/>
        </w:rPr>
        <w:t>Emenda Modificativa visando à adequação da espécie normativa</w:t>
      </w:r>
      <w:r w:rsidRPr="00C06286">
        <w:rPr>
          <w:rFonts w:ascii="Cambria" w:hAnsi="Cambria" w:cstheme="minorHAnsi"/>
          <w:sz w:val="22"/>
          <w:szCs w:val="22"/>
        </w:rPr>
        <w:t xml:space="preserve">, a qual, </w:t>
      </w:r>
      <w:r w:rsidRPr="00C06286">
        <w:rPr>
          <w:rFonts w:ascii="Cambria" w:hAnsi="Cambria" w:cstheme="minorHAnsi"/>
          <w:b/>
          <w:bCs/>
          <w:sz w:val="22"/>
          <w:szCs w:val="22"/>
        </w:rPr>
        <w:t>se aprovada, sanará o referido vício</w:t>
      </w:r>
      <w:r w:rsidRPr="00C06286">
        <w:rPr>
          <w:rFonts w:ascii="Cambria" w:hAnsi="Cambria" w:cstheme="minorHAnsi"/>
          <w:sz w:val="22"/>
          <w:szCs w:val="22"/>
        </w:rPr>
        <w:t>.</w:t>
      </w:r>
    </w:p>
    <w:p w14:paraId="26298B8E" w14:textId="77777777" w:rsidR="00C06286" w:rsidRPr="00C06286" w:rsidRDefault="00C06286" w:rsidP="00C06286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No tocante à expressão </w:t>
      </w:r>
      <w:r w:rsidRPr="00C06286">
        <w:rPr>
          <w:rFonts w:ascii="Cambria" w:hAnsi="Cambria" w:cstheme="minorHAnsi"/>
          <w:b/>
          <w:bCs/>
          <w:sz w:val="22"/>
          <w:szCs w:val="22"/>
        </w:rPr>
        <w:t>“revisão geral anual”</w:t>
      </w:r>
      <w:r w:rsidRPr="00C06286">
        <w:rPr>
          <w:rFonts w:ascii="Cambria" w:hAnsi="Cambria" w:cstheme="minorHAnsi"/>
          <w:sz w:val="22"/>
          <w:szCs w:val="22"/>
        </w:rPr>
        <w:t xml:space="preserve">, observa-se que, conforme dispõe o </w:t>
      </w:r>
      <w:r w:rsidRPr="00C06286">
        <w:rPr>
          <w:rFonts w:ascii="Cambria" w:hAnsi="Cambria" w:cstheme="minorHAnsi"/>
          <w:b/>
          <w:bCs/>
          <w:sz w:val="22"/>
          <w:szCs w:val="22"/>
        </w:rPr>
        <w:t>art. 37, inciso X, da Constituição Federal</w:t>
      </w:r>
      <w:r w:rsidRPr="00C06286">
        <w:rPr>
          <w:rFonts w:ascii="Cambria" w:hAnsi="Cambria" w:cstheme="minorHAnsi"/>
          <w:sz w:val="22"/>
          <w:szCs w:val="22"/>
        </w:rPr>
        <w:t xml:space="preserve">, a revisão geral da remuneração dos servidores públicos deve ocorrer de forma </w:t>
      </w:r>
      <w:r w:rsidRPr="00C06286">
        <w:rPr>
          <w:rFonts w:ascii="Cambria" w:hAnsi="Cambria" w:cstheme="minorHAnsi"/>
          <w:b/>
          <w:bCs/>
          <w:sz w:val="22"/>
          <w:szCs w:val="22"/>
        </w:rPr>
        <w:t>geral, isonômica e linear</w:t>
      </w:r>
      <w:r w:rsidRPr="00C06286">
        <w:rPr>
          <w:rFonts w:ascii="Cambria" w:hAnsi="Cambria" w:cstheme="minorHAnsi"/>
          <w:sz w:val="22"/>
          <w:szCs w:val="22"/>
        </w:rPr>
        <w:t>, alcançando todos os servidores.</w:t>
      </w:r>
    </w:p>
    <w:p w14:paraId="22DB8A40" w14:textId="77777777" w:rsidR="00C06286" w:rsidRPr="00C06286" w:rsidRDefault="00C06286" w:rsidP="00C06286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O </w:t>
      </w:r>
      <w:r w:rsidRPr="00C06286">
        <w:rPr>
          <w:rFonts w:ascii="Cambria" w:hAnsi="Cambria" w:cstheme="minorHAnsi"/>
          <w:b/>
          <w:bCs/>
          <w:sz w:val="22"/>
          <w:szCs w:val="22"/>
        </w:rPr>
        <w:t>Supremo Tribunal Federal possui entendimento consolidado</w:t>
      </w:r>
      <w:r w:rsidRPr="00C06286">
        <w:rPr>
          <w:rFonts w:ascii="Cambria" w:hAnsi="Cambria" w:cstheme="minorHAnsi"/>
          <w:sz w:val="22"/>
          <w:szCs w:val="22"/>
        </w:rPr>
        <w:t xml:space="preserve"> de que a revisão geral anual </w:t>
      </w:r>
      <w:r w:rsidRPr="00C06286">
        <w:rPr>
          <w:rFonts w:ascii="Cambria" w:hAnsi="Cambria" w:cstheme="minorHAnsi"/>
          <w:b/>
          <w:bCs/>
          <w:sz w:val="22"/>
          <w:szCs w:val="22"/>
        </w:rPr>
        <w:t>não pode ser concedida de forma setorial ou restrita a determinadas categorias</w:t>
      </w:r>
      <w:r w:rsidRPr="00C06286">
        <w:rPr>
          <w:rFonts w:ascii="Cambria" w:hAnsi="Cambria" w:cstheme="minorHAnsi"/>
          <w:sz w:val="22"/>
          <w:szCs w:val="22"/>
        </w:rPr>
        <w:t>, sob pena de violação ao princípio da isonomia.</w:t>
      </w:r>
    </w:p>
    <w:p w14:paraId="5B536D8C" w14:textId="77777777" w:rsidR="00C06286" w:rsidRPr="00C06286" w:rsidRDefault="00C06286" w:rsidP="00C06286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No presente caso, a proposição restringe-se aos </w:t>
      </w:r>
      <w:r w:rsidRPr="00C06286">
        <w:rPr>
          <w:rFonts w:ascii="Cambria" w:hAnsi="Cambria" w:cstheme="minorHAnsi"/>
          <w:b/>
          <w:bCs/>
          <w:sz w:val="22"/>
          <w:szCs w:val="22"/>
        </w:rPr>
        <w:t>cargos em comissão e funções gratificadas</w:t>
      </w:r>
      <w:r w:rsidRPr="00C06286">
        <w:rPr>
          <w:rFonts w:ascii="Cambria" w:hAnsi="Cambria" w:cstheme="minorHAnsi"/>
          <w:sz w:val="22"/>
          <w:szCs w:val="22"/>
        </w:rPr>
        <w:t xml:space="preserve">, o que torna </w:t>
      </w:r>
      <w:r w:rsidRPr="00C06286">
        <w:rPr>
          <w:rFonts w:ascii="Cambria" w:hAnsi="Cambria" w:cstheme="minorHAnsi"/>
          <w:b/>
          <w:bCs/>
          <w:sz w:val="22"/>
          <w:szCs w:val="22"/>
        </w:rPr>
        <w:t>tecnicamente inadequada a utilização da referida expressão</w:t>
      </w:r>
      <w:r w:rsidRPr="00C06286">
        <w:rPr>
          <w:rFonts w:ascii="Cambria" w:hAnsi="Cambria" w:cstheme="minorHAnsi"/>
          <w:sz w:val="22"/>
          <w:szCs w:val="22"/>
        </w:rPr>
        <w:t>.</w:t>
      </w:r>
    </w:p>
    <w:p w14:paraId="2A9E8BD2" w14:textId="77777777" w:rsidR="00C06286" w:rsidRPr="00C06286" w:rsidRDefault="00C06286" w:rsidP="00C06286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lastRenderedPageBreak/>
        <w:t xml:space="preserve">Dessa forma, a Emenda Modificativa propõe a substituição por </w:t>
      </w:r>
      <w:r w:rsidRPr="00C06286">
        <w:rPr>
          <w:rFonts w:ascii="Cambria" w:hAnsi="Cambria" w:cstheme="minorHAnsi"/>
          <w:b/>
          <w:bCs/>
          <w:sz w:val="22"/>
          <w:szCs w:val="22"/>
        </w:rPr>
        <w:t>“atualização dos vencimentos”</w:t>
      </w:r>
      <w:r w:rsidRPr="00C06286">
        <w:rPr>
          <w:rFonts w:ascii="Cambria" w:hAnsi="Cambria" w:cstheme="minorHAnsi"/>
          <w:sz w:val="22"/>
          <w:szCs w:val="22"/>
        </w:rPr>
        <w:t xml:space="preserve">, conferindo </w:t>
      </w:r>
      <w:r w:rsidRPr="00C06286">
        <w:rPr>
          <w:rFonts w:ascii="Cambria" w:hAnsi="Cambria" w:cstheme="minorHAnsi"/>
          <w:b/>
          <w:bCs/>
          <w:sz w:val="22"/>
          <w:szCs w:val="22"/>
        </w:rPr>
        <w:t>maior precisão jurídica</w:t>
      </w:r>
      <w:r w:rsidRPr="00C06286">
        <w:rPr>
          <w:rFonts w:ascii="Cambria" w:hAnsi="Cambria" w:cstheme="minorHAnsi"/>
          <w:sz w:val="22"/>
          <w:szCs w:val="22"/>
        </w:rPr>
        <w:t xml:space="preserve"> ao texto e </w:t>
      </w:r>
      <w:r w:rsidRPr="00C06286">
        <w:rPr>
          <w:rFonts w:ascii="Cambria" w:hAnsi="Cambria" w:cstheme="minorHAnsi"/>
          <w:b/>
          <w:bCs/>
          <w:sz w:val="22"/>
          <w:szCs w:val="22"/>
        </w:rPr>
        <w:t>afastando risco de inconstitucionalidade material</w:t>
      </w:r>
      <w:r w:rsidRPr="00C06286">
        <w:rPr>
          <w:rFonts w:ascii="Cambria" w:hAnsi="Cambria" w:cstheme="minorHAnsi"/>
          <w:sz w:val="22"/>
          <w:szCs w:val="22"/>
        </w:rPr>
        <w:t>.</w:t>
      </w:r>
    </w:p>
    <w:p w14:paraId="1F66C9B6" w14:textId="77777777" w:rsidR="00C06286" w:rsidRPr="00C06286" w:rsidRDefault="00C06286" w:rsidP="00C06286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Por fim, a emenda também promove </w:t>
      </w:r>
      <w:r w:rsidRPr="00C06286">
        <w:rPr>
          <w:rFonts w:ascii="Cambria" w:hAnsi="Cambria" w:cstheme="minorHAnsi"/>
          <w:b/>
          <w:bCs/>
          <w:sz w:val="22"/>
          <w:szCs w:val="22"/>
        </w:rPr>
        <w:t>correção de técnica legislativa quanto à numeração dos dispositivos</w:t>
      </w:r>
      <w:r w:rsidRPr="00C06286">
        <w:rPr>
          <w:rFonts w:ascii="Cambria" w:hAnsi="Cambria" w:cstheme="minorHAnsi"/>
          <w:sz w:val="22"/>
          <w:szCs w:val="22"/>
        </w:rPr>
        <w:t xml:space="preserve">, garantindo a </w:t>
      </w:r>
      <w:r w:rsidRPr="00C06286">
        <w:rPr>
          <w:rFonts w:ascii="Cambria" w:hAnsi="Cambria" w:cstheme="minorHAnsi"/>
          <w:b/>
          <w:bCs/>
          <w:sz w:val="22"/>
          <w:szCs w:val="22"/>
        </w:rPr>
        <w:t>sequência lógica dos artigos</w:t>
      </w:r>
      <w:r w:rsidRPr="00C06286">
        <w:rPr>
          <w:rFonts w:ascii="Cambria" w:hAnsi="Cambria" w:cstheme="minorHAnsi"/>
          <w:sz w:val="22"/>
          <w:szCs w:val="22"/>
        </w:rPr>
        <w:t>.</w:t>
      </w:r>
    </w:p>
    <w:p w14:paraId="45551D77" w14:textId="77777777" w:rsidR="00C06286" w:rsidRPr="00C06286" w:rsidRDefault="00C06286" w:rsidP="00C06286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Assim, </w:t>
      </w:r>
      <w:r w:rsidRPr="00C06286">
        <w:rPr>
          <w:rFonts w:ascii="Cambria" w:hAnsi="Cambria" w:cstheme="minorHAnsi"/>
          <w:b/>
          <w:bCs/>
          <w:sz w:val="22"/>
          <w:szCs w:val="22"/>
        </w:rPr>
        <w:t>não se verifica vício de constitucionalidade ou legalidade</w:t>
      </w:r>
      <w:r w:rsidRPr="00C06286">
        <w:rPr>
          <w:rFonts w:ascii="Cambria" w:hAnsi="Cambria" w:cstheme="minorHAnsi"/>
          <w:sz w:val="22"/>
          <w:szCs w:val="22"/>
        </w:rPr>
        <w:t xml:space="preserve">, desde que observadas as </w:t>
      </w:r>
      <w:r w:rsidRPr="00C06286">
        <w:rPr>
          <w:rFonts w:ascii="Cambria" w:hAnsi="Cambria" w:cstheme="minorHAnsi"/>
          <w:b/>
          <w:bCs/>
          <w:sz w:val="22"/>
          <w:szCs w:val="22"/>
        </w:rPr>
        <w:t>correções propostas pela Emenda Modificativa</w:t>
      </w:r>
      <w:r w:rsidRPr="00C06286">
        <w:rPr>
          <w:rFonts w:ascii="Cambria" w:hAnsi="Cambria" w:cstheme="minorHAnsi"/>
          <w:sz w:val="22"/>
          <w:szCs w:val="22"/>
        </w:rPr>
        <w:t>.</w:t>
      </w:r>
    </w:p>
    <w:p w14:paraId="55077D2A" w14:textId="77777777" w:rsidR="00D8612B" w:rsidRDefault="00D8612B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603533A2" w14:textId="4F2EE4AC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III - ANÁLISE DE MÉRITO </w:t>
      </w:r>
    </w:p>
    <w:p w14:paraId="4B37486D" w14:textId="77777777" w:rsidR="00C06286" w:rsidRPr="00C06286" w:rsidRDefault="00C06286" w:rsidP="00C06286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Sob o aspecto administrativo, a proposição mostra-se </w:t>
      </w:r>
      <w:r w:rsidRPr="00C06286">
        <w:rPr>
          <w:rFonts w:ascii="Cambria" w:hAnsi="Cambria" w:cstheme="minorHAnsi"/>
          <w:b/>
          <w:bCs/>
          <w:sz w:val="22"/>
          <w:szCs w:val="22"/>
        </w:rPr>
        <w:t>adequada e oportuna</w:t>
      </w:r>
      <w:r w:rsidRPr="00C06286">
        <w:rPr>
          <w:rFonts w:ascii="Cambria" w:hAnsi="Cambria" w:cstheme="minorHAnsi"/>
          <w:sz w:val="22"/>
          <w:szCs w:val="22"/>
        </w:rPr>
        <w:t xml:space="preserve">, uma vez que visa promover a </w:t>
      </w:r>
      <w:r w:rsidRPr="00C06286">
        <w:rPr>
          <w:rFonts w:ascii="Cambria" w:hAnsi="Cambria" w:cstheme="minorHAnsi"/>
          <w:b/>
          <w:bCs/>
          <w:sz w:val="22"/>
          <w:szCs w:val="22"/>
        </w:rPr>
        <w:t>atualização dos vencimentos dos cargos em comissão e funções gratificadas</w:t>
      </w:r>
      <w:r w:rsidRPr="00C06286">
        <w:rPr>
          <w:rFonts w:ascii="Cambria" w:hAnsi="Cambria" w:cstheme="minorHAnsi"/>
          <w:sz w:val="22"/>
          <w:szCs w:val="22"/>
        </w:rPr>
        <w:t>.</w:t>
      </w:r>
    </w:p>
    <w:p w14:paraId="22E26620" w14:textId="77777777" w:rsidR="00C06286" w:rsidRPr="00C06286" w:rsidRDefault="00C06286" w:rsidP="00C06286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A medida contribui para a </w:t>
      </w:r>
      <w:r w:rsidRPr="00C06286">
        <w:rPr>
          <w:rFonts w:ascii="Cambria" w:hAnsi="Cambria" w:cstheme="minorHAnsi"/>
          <w:b/>
          <w:bCs/>
          <w:sz w:val="22"/>
          <w:szCs w:val="22"/>
        </w:rPr>
        <w:t>manutenção do equilíbrio remuneratório</w:t>
      </w:r>
      <w:r w:rsidRPr="00C06286">
        <w:rPr>
          <w:rFonts w:ascii="Cambria" w:hAnsi="Cambria" w:cstheme="minorHAnsi"/>
          <w:sz w:val="22"/>
          <w:szCs w:val="22"/>
        </w:rPr>
        <w:t xml:space="preserve"> e </w:t>
      </w:r>
      <w:r w:rsidRPr="00C06286">
        <w:rPr>
          <w:rFonts w:ascii="Cambria" w:hAnsi="Cambria" w:cstheme="minorHAnsi"/>
          <w:b/>
          <w:bCs/>
          <w:sz w:val="22"/>
          <w:szCs w:val="22"/>
        </w:rPr>
        <w:t>valorização das funções públicas</w:t>
      </w:r>
      <w:r w:rsidRPr="00C06286">
        <w:rPr>
          <w:rFonts w:ascii="Cambria" w:hAnsi="Cambria" w:cstheme="minorHAnsi"/>
          <w:sz w:val="22"/>
          <w:szCs w:val="22"/>
        </w:rPr>
        <w:t>, sem implicar criação de novos cargos ou alteração estrutural relevante.</w:t>
      </w:r>
    </w:p>
    <w:p w14:paraId="62749C02" w14:textId="77777777" w:rsidR="00C06286" w:rsidRPr="00C06286" w:rsidRDefault="00C06286" w:rsidP="00C06286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 xml:space="preserve">As adequações propostas possuem caráter </w:t>
      </w:r>
      <w:r w:rsidRPr="00C06286">
        <w:rPr>
          <w:rFonts w:ascii="Cambria" w:hAnsi="Cambria" w:cstheme="minorHAnsi"/>
          <w:b/>
          <w:bCs/>
          <w:sz w:val="22"/>
          <w:szCs w:val="22"/>
        </w:rPr>
        <w:t>exclusivamente formal</w:t>
      </w:r>
      <w:r w:rsidRPr="00C06286">
        <w:rPr>
          <w:rFonts w:ascii="Cambria" w:hAnsi="Cambria" w:cstheme="minorHAnsi"/>
          <w:sz w:val="22"/>
          <w:szCs w:val="22"/>
        </w:rPr>
        <w:t xml:space="preserve">, não interferindo no mérito da proposição, mas assegurando </w:t>
      </w:r>
      <w:r w:rsidRPr="00C06286">
        <w:rPr>
          <w:rFonts w:ascii="Cambria" w:hAnsi="Cambria" w:cstheme="minorHAnsi"/>
          <w:b/>
          <w:bCs/>
          <w:sz w:val="22"/>
          <w:szCs w:val="22"/>
        </w:rPr>
        <w:t>maior segurança jurídica e qualidade legislativa</w:t>
      </w:r>
      <w:r w:rsidRPr="00C06286">
        <w:rPr>
          <w:rFonts w:ascii="Cambria" w:hAnsi="Cambria" w:cstheme="minorHAnsi"/>
          <w:sz w:val="22"/>
          <w:szCs w:val="22"/>
        </w:rPr>
        <w:t>.</w:t>
      </w:r>
    </w:p>
    <w:p w14:paraId="0C408699" w14:textId="77777777" w:rsidR="00C055ED" w:rsidRPr="00107BD9" w:rsidRDefault="00C055ED" w:rsidP="00107BD9">
      <w:pPr>
        <w:pStyle w:val="PargrafodaLista"/>
        <w:spacing w:line="480" w:lineRule="auto"/>
        <w:ind w:left="1428"/>
        <w:jc w:val="both"/>
        <w:rPr>
          <w:rFonts w:ascii="Cambria" w:hAnsi="Cambria" w:cstheme="minorHAnsi"/>
          <w:sz w:val="22"/>
          <w:szCs w:val="22"/>
        </w:rPr>
      </w:pPr>
    </w:p>
    <w:p w14:paraId="6F82D173" w14:textId="34463DE5" w:rsidR="006F0098" w:rsidRPr="00107BD9" w:rsidRDefault="00847207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V –</w:t>
      </w:r>
      <w:r w:rsidR="00D8696E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DA</w:t>
      </w:r>
      <w:r w:rsidR="00170B83">
        <w:rPr>
          <w:rFonts w:ascii="Cambria" w:hAnsi="Cambria" w:cstheme="minorHAnsi"/>
          <w:b/>
          <w:bCs/>
          <w:sz w:val="22"/>
          <w:szCs w:val="22"/>
          <w:u w:val="single"/>
        </w:rPr>
        <w:t>S COMISSÕES PERMANENTES</w:t>
      </w:r>
    </w:p>
    <w:p w14:paraId="4B2DAD56" w14:textId="62331CDA" w:rsidR="003B7C64" w:rsidRDefault="00170B83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 xml:space="preserve">A Comissão de Constituição, Justiça e Redação Final, composta pelos Vereadores(as) </w:t>
      </w:r>
      <w:r w:rsidRPr="00170B83">
        <w:rPr>
          <w:rFonts w:ascii="Cambria" w:hAnsi="Cambria" w:cstheme="minorHAnsi"/>
          <w:b/>
          <w:bCs/>
          <w:sz w:val="22"/>
          <w:szCs w:val="22"/>
        </w:rPr>
        <w:t>Bárbara de Medeiros Dantas (Presidente), José Gilvan Dantas (Relator)</w:t>
      </w:r>
      <w:r w:rsidRPr="00170B83">
        <w:rPr>
          <w:rFonts w:ascii="Cambria" w:hAnsi="Cambria" w:cstheme="minorHAnsi"/>
          <w:sz w:val="22"/>
          <w:szCs w:val="22"/>
        </w:rPr>
        <w:t xml:space="preserve"> e </w:t>
      </w:r>
      <w:r w:rsidRPr="00170B83">
        <w:rPr>
          <w:rFonts w:ascii="Cambria" w:hAnsi="Cambria" w:cstheme="minorHAnsi"/>
          <w:b/>
          <w:bCs/>
          <w:sz w:val="22"/>
          <w:szCs w:val="22"/>
        </w:rPr>
        <w:t>Maria das Vitórias Bezerra Dantas (Secretária)</w:t>
      </w:r>
      <w:r w:rsidRPr="00170B83">
        <w:rPr>
          <w:rFonts w:ascii="Cambria" w:hAnsi="Cambria" w:cstheme="minorHAnsi"/>
          <w:sz w:val="22"/>
          <w:szCs w:val="22"/>
        </w:rPr>
        <w:t xml:space="preserve">; a Comissão de Finanças e Orçamento, composta pelos Vereadores(as) </w:t>
      </w:r>
      <w:proofErr w:type="spellStart"/>
      <w:r w:rsidRPr="00170B83">
        <w:rPr>
          <w:rFonts w:ascii="Cambria" w:hAnsi="Cambria" w:cstheme="minorHAnsi"/>
          <w:b/>
          <w:bCs/>
          <w:sz w:val="22"/>
          <w:szCs w:val="22"/>
        </w:rPr>
        <w:t>Jemmifran</w:t>
      </w:r>
      <w:proofErr w:type="spellEnd"/>
      <w:r w:rsidRPr="00170B83">
        <w:rPr>
          <w:rFonts w:ascii="Cambria" w:hAnsi="Cambria" w:cstheme="minorHAnsi"/>
          <w:b/>
          <w:bCs/>
          <w:sz w:val="22"/>
          <w:szCs w:val="22"/>
        </w:rPr>
        <w:t xml:space="preserve"> da Silva Dantas (Presidente), Bárbara de Medeiros Dantas (Relatora)</w:t>
      </w:r>
      <w:r w:rsidRPr="00170B83">
        <w:rPr>
          <w:rFonts w:ascii="Cambria" w:hAnsi="Cambria" w:cstheme="minorHAnsi"/>
          <w:sz w:val="22"/>
          <w:szCs w:val="22"/>
        </w:rPr>
        <w:t xml:space="preserve"> e </w:t>
      </w:r>
      <w:r w:rsidRPr="00170B83">
        <w:rPr>
          <w:rFonts w:ascii="Cambria" w:hAnsi="Cambria" w:cstheme="minorHAnsi"/>
          <w:b/>
          <w:bCs/>
          <w:sz w:val="22"/>
          <w:szCs w:val="22"/>
        </w:rPr>
        <w:t>Jardel Dantas da Silva (Secretário)</w:t>
      </w:r>
      <w:r w:rsidRPr="00170B83">
        <w:rPr>
          <w:rFonts w:ascii="Cambria" w:hAnsi="Cambria" w:cstheme="minorHAnsi"/>
          <w:sz w:val="22"/>
          <w:szCs w:val="22"/>
        </w:rPr>
        <w:t xml:space="preserve">; </w:t>
      </w:r>
      <w:r w:rsidR="00C06286" w:rsidRPr="00C06286">
        <w:rPr>
          <w:rFonts w:ascii="Cambria" w:hAnsi="Cambria" w:cstheme="minorHAnsi"/>
          <w:sz w:val="22"/>
          <w:szCs w:val="22"/>
        </w:rPr>
        <w:t>analisaram o Projeto de Lei Complementar nº 003/2026, de autoria do Poder Executivo Municipal.</w:t>
      </w:r>
      <w:r w:rsidR="00D96087" w:rsidRPr="00107BD9">
        <w:rPr>
          <w:rFonts w:ascii="Cambria" w:hAnsi="Cambria" w:cstheme="minorHAnsi"/>
          <w:b/>
          <w:bCs/>
          <w:sz w:val="22"/>
          <w:szCs w:val="22"/>
        </w:rPr>
        <w:t xml:space="preserve"> </w:t>
      </w:r>
    </w:p>
    <w:p w14:paraId="0E7D6972" w14:textId="7AAEA390" w:rsidR="00107BD9" w:rsidRDefault="00D8612B" w:rsidP="00107BD9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8612B">
        <w:rPr>
          <w:rFonts w:ascii="Cambria" w:hAnsi="Cambria" w:cstheme="minorHAnsi"/>
          <w:sz w:val="22"/>
          <w:szCs w:val="22"/>
        </w:rPr>
        <w:lastRenderedPageBreak/>
        <w:t>A análise foi realizada sob os aspectos da constitucionalidade, legalidade, técnica legislativa, impacto administrativo e adequação orçamentária da matéria</w:t>
      </w:r>
      <w:r w:rsidR="00170B83" w:rsidRPr="00170B83">
        <w:rPr>
          <w:rFonts w:ascii="Cambria" w:hAnsi="Cambria" w:cstheme="minorHAnsi"/>
          <w:sz w:val="22"/>
          <w:szCs w:val="22"/>
        </w:rPr>
        <w:t>.</w:t>
      </w:r>
    </w:p>
    <w:p w14:paraId="74239B0B" w14:textId="603EF190" w:rsidR="00C06286" w:rsidRDefault="00C06286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C06286">
        <w:rPr>
          <w:rFonts w:ascii="Cambria" w:hAnsi="Cambria" w:cstheme="minorHAnsi"/>
          <w:b/>
          <w:bCs/>
          <w:sz w:val="22"/>
          <w:szCs w:val="22"/>
        </w:rPr>
        <w:t>Durante a tramitação, foi apresentada Emenda Modificativa, com o objetivo de:</w:t>
      </w:r>
    </w:p>
    <w:p w14:paraId="3EF90F8A" w14:textId="16BEA123" w:rsidR="00C06286" w:rsidRDefault="00C06286" w:rsidP="00C06286">
      <w:pPr>
        <w:pStyle w:val="PargrafodaLista"/>
        <w:numPr>
          <w:ilvl w:val="0"/>
          <w:numId w:val="9"/>
        </w:num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C06286">
        <w:rPr>
          <w:rFonts w:ascii="Cambria" w:hAnsi="Cambria" w:cstheme="minorHAnsi"/>
          <w:b/>
          <w:bCs/>
          <w:sz w:val="22"/>
          <w:szCs w:val="22"/>
        </w:rPr>
        <w:t>adequar a espécie normativa da proposição</w:t>
      </w:r>
    </w:p>
    <w:p w14:paraId="5EC1C5B8" w14:textId="41B35F2C" w:rsidR="00C06286" w:rsidRDefault="00C06286" w:rsidP="00C06286">
      <w:pPr>
        <w:pStyle w:val="PargrafodaLista"/>
        <w:numPr>
          <w:ilvl w:val="0"/>
          <w:numId w:val="9"/>
        </w:num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C06286">
        <w:rPr>
          <w:rFonts w:ascii="Cambria" w:hAnsi="Cambria" w:cstheme="minorHAnsi"/>
          <w:b/>
          <w:bCs/>
          <w:sz w:val="22"/>
          <w:szCs w:val="22"/>
        </w:rPr>
        <w:t>corrigir a terminologia jurídica (“revisão geral anual”)</w:t>
      </w:r>
    </w:p>
    <w:p w14:paraId="3478B41F" w14:textId="1A9FECFD" w:rsidR="00C06286" w:rsidRDefault="00C06286" w:rsidP="00C06286">
      <w:pPr>
        <w:pStyle w:val="PargrafodaLista"/>
        <w:numPr>
          <w:ilvl w:val="0"/>
          <w:numId w:val="9"/>
        </w:num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C06286">
        <w:rPr>
          <w:rFonts w:ascii="Cambria" w:hAnsi="Cambria" w:cstheme="minorHAnsi"/>
          <w:b/>
          <w:bCs/>
          <w:sz w:val="22"/>
          <w:szCs w:val="22"/>
        </w:rPr>
        <w:t>sanar inconsistências de técnica legislativa</w:t>
      </w:r>
    </w:p>
    <w:p w14:paraId="1111092B" w14:textId="77777777" w:rsidR="00C06286" w:rsidRPr="00C06286" w:rsidRDefault="00C06286" w:rsidP="00C06286">
      <w:pPr>
        <w:pStyle w:val="PargrafodaLista"/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50BCDC54" w14:textId="233539C0" w:rsidR="00C06286" w:rsidRPr="00C06286" w:rsidRDefault="00C06286" w:rsidP="00C06286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C06286">
        <w:rPr>
          <w:rFonts w:ascii="Cambria" w:hAnsi="Cambria" w:cstheme="minorHAnsi"/>
          <w:sz w:val="22"/>
          <w:szCs w:val="22"/>
        </w:rPr>
        <w:t>Diante disso, os Relatores das referidas Comissões emitem parecer favorável à tramitação e aprovação do Projeto de Lei Complementar nº 003/2026, condicionada à aprovação da Emenda Modificativa apresentada, submetendo-o ao Plenário para deliberação.</w:t>
      </w:r>
    </w:p>
    <w:p w14:paraId="7EC380BA" w14:textId="77777777" w:rsidR="00107BD9" w:rsidRPr="00107BD9" w:rsidRDefault="00107BD9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06451AF6" w14:textId="016EDC8C" w:rsidR="00573E41" w:rsidRDefault="000662EA" w:rsidP="00573E41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C06286">
        <w:rPr>
          <w:rFonts w:ascii="Cambria" w:hAnsi="Cambria" w:cstheme="minorHAnsi"/>
          <w:sz w:val="22"/>
          <w:szCs w:val="22"/>
        </w:rPr>
        <w:t>16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182A38">
        <w:rPr>
          <w:rFonts w:ascii="Cambria" w:hAnsi="Cambria" w:cstheme="minorHAnsi"/>
          <w:sz w:val="22"/>
          <w:szCs w:val="22"/>
        </w:rPr>
        <w:t>abril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8612B"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2BB78486" w14:textId="77777777" w:rsidR="00573E41" w:rsidRPr="00107BD9" w:rsidRDefault="00573E41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1804952D" w14:textId="1530B847" w:rsidR="000662EA" w:rsidRPr="00107BD9" w:rsidRDefault="000662EA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  <w:r w:rsidR="00073118">
        <w:rPr>
          <w:rFonts w:ascii="Cambria" w:hAnsi="Cambria" w:cstheme="minorHAnsi"/>
          <w:sz w:val="22"/>
          <w:szCs w:val="22"/>
        </w:rPr>
        <w:t>___</w:t>
      </w:r>
    </w:p>
    <w:p w14:paraId="5ED147C6" w14:textId="7B37EF9E" w:rsidR="000E4977" w:rsidRPr="00107BD9" w:rsidRDefault="00C45158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JOSÉ GILVAN DANTAS</w:t>
      </w:r>
    </w:p>
    <w:p w14:paraId="73C11013" w14:textId="2BF0755D" w:rsidR="00DB249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619A313D" w14:textId="54BAD02C" w:rsidR="000662E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Constituição</w:t>
      </w:r>
      <w:r w:rsidR="00C45158" w:rsidRPr="00107BD9">
        <w:rPr>
          <w:rFonts w:ascii="Cambria" w:hAnsi="Cambria" w:cstheme="minorHAnsi"/>
          <w:sz w:val="22"/>
          <w:szCs w:val="22"/>
        </w:rPr>
        <w:t>, Justiça e Redação Fina</w:t>
      </w:r>
      <w:r w:rsidR="00FD37DC" w:rsidRPr="00107BD9">
        <w:rPr>
          <w:rFonts w:ascii="Cambria" w:hAnsi="Cambria" w:cstheme="minorHAnsi"/>
          <w:sz w:val="22"/>
          <w:szCs w:val="22"/>
        </w:rPr>
        <w:t>l</w:t>
      </w:r>
    </w:p>
    <w:p w14:paraId="24131033" w14:textId="77777777" w:rsidR="005353CC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34A21300" w14:textId="77777777" w:rsidR="005353CC" w:rsidRPr="00107BD9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42077522" w14:textId="77777777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</w:p>
    <w:p w14:paraId="1269B097" w14:textId="77777777" w:rsidR="00E54691" w:rsidRPr="00107BD9" w:rsidRDefault="00E54691" w:rsidP="005353CC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BÁRBARA DE MEDEIROS DANTAS</w:t>
      </w:r>
    </w:p>
    <w:p w14:paraId="3CC9E71B" w14:textId="72D2AEE4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Relatora da Comissão de</w:t>
      </w:r>
    </w:p>
    <w:p w14:paraId="28B3C87B" w14:textId="2EC6FA1A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  <w:r w:rsidR="004E37C2">
        <w:rPr>
          <w:rFonts w:ascii="Cambria" w:hAnsi="Cambria" w:cstheme="minorHAnsi"/>
          <w:sz w:val="22"/>
          <w:szCs w:val="22"/>
        </w:rPr>
        <w:t xml:space="preserve"> e Presidente</w:t>
      </w:r>
      <w:r w:rsidR="004E37C2">
        <w:rPr>
          <w:rFonts w:ascii="Cambria" w:hAnsi="Cambria" w:cstheme="minorHAnsi"/>
          <w:sz w:val="22"/>
          <w:szCs w:val="22"/>
        </w:rPr>
        <w:br/>
        <w:t xml:space="preserve">da </w:t>
      </w:r>
      <w:r w:rsidR="004E37C2" w:rsidRPr="00170B83">
        <w:rPr>
          <w:rFonts w:ascii="Cambria" w:hAnsi="Cambria" w:cstheme="minorHAnsi"/>
          <w:sz w:val="22"/>
          <w:szCs w:val="22"/>
        </w:rPr>
        <w:t>Comissão de Constituição, Justiça e Redação Final</w:t>
      </w:r>
    </w:p>
    <w:p w14:paraId="0C013288" w14:textId="77777777" w:rsidR="00170B83" w:rsidRDefault="00170B83" w:rsidP="00073118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426A039E" w14:textId="77777777" w:rsidR="003B7C64" w:rsidRDefault="003B7C64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7AE1033B" w14:textId="77777777" w:rsidR="00C06286" w:rsidRDefault="00C06286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07706E80" w14:textId="77777777" w:rsidR="00C06286" w:rsidRDefault="00C06286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1A8150D1" w14:textId="77777777" w:rsidR="00C06286" w:rsidRPr="00107BD9" w:rsidRDefault="00C06286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7E1B19AC" w14:textId="60DBA06E" w:rsidR="00DB249A" w:rsidRPr="00107BD9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lastRenderedPageBreak/>
        <w:t>APROVAÇÃO DOS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DEMAIS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MEMBROS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</w:p>
    <w:p w14:paraId="735FDFD4" w14:textId="77777777" w:rsidR="000662EA" w:rsidRPr="00107BD9" w:rsidRDefault="000662EA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5F94CA84" w14:textId="150F8EE0" w:rsidR="00573E41" w:rsidRPr="00C06286" w:rsidRDefault="00170B83" w:rsidP="00C06286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 xml:space="preserve">Em consonância com as leis vigentes, manifestam-se as três Comissões Permanentes, por maioria dos votos, </w:t>
      </w:r>
      <w:r w:rsidR="00073118" w:rsidRPr="00073118">
        <w:rPr>
          <w:rFonts w:ascii="Cambria" w:hAnsi="Cambria" w:cstheme="minorHAnsi"/>
          <w:b/>
          <w:bCs/>
          <w:sz w:val="22"/>
          <w:szCs w:val="22"/>
        </w:rPr>
        <w:t xml:space="preserve">PELA APROVAÇÃO </w:t>
      </w:r>
      <w:r w:rsidR="00C06286" w:rsidRPr="00C06286">
        <w:rPr>
          <w:rFonts w:ascii="Cambria" w:hAnsi="Cambria" w:cstheme="minorHAnsi"/>
          <w:b/>
          <w:bCs/>
          <w:sz w:val="22"/>
          <w:szCs w:val="22"/>
        </w:rPr>
        <w:t>do Projeto de Lei Complementar nº 003/2026, desde que aprovada a Emenda Modificativa, acompanhando o parecer dos Relatores.</w:t>
      </w:r>
    </w:p>
    <w:p w14:paraId="7ABC83BD" w14:textId="77777777" w:rsidR="00FD37DC" w:rsidRPr="00107BD9" w:rsidRDefault="00FD37DC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DF52841" w14:textId="6B64C27B" w:rsidR="00182A38" w:rsidRDefault="00182A38" w:rsidP="00182A38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C06286">
        <w:rPr>
          <w:rFonts w:ascii="Cambria" w:hAnsi="Cambria" w:cstheme="minorHAnsi"/>
          <w:sz w:val="22"/>
          <w:szCs w:val="22"/>
        </w:rPr>
        <w:t>16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abril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780BF8AA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9FDF075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4AC550C" w14:textId="083F1B6E" w:rsidR="00654CA7" w:rsidRPr="00107BD9" w:rsidRDefault="00FD6CE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</w:t>
      </w:r>
      <w:r w:rsidR="00654CA7" w:rsidRPr="00107BD9">
        <w:rPr>
          <w:rFonts w:ascii="Cambria" w:hAnsi="Cambria" w:cstheme="minorHAnsi"/>
          <w:sz w:val="22"/>
          <w:szCs w:val="22"/>
        </w:rPr>
        <w:t>_____________________________</w:t>
      </w:r>
    </w:p>
    <w:p w14:paraId="08E16A5C" w14:textId="77777777" w:rsidR="00073118" w:rsidRDefault="00FD6CE1" w:rsidP="00073118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MARIA DAS VITÓRIAS BEZERRA DANTAS</w:t>
      </w:r>
      <w:r w:rsidR="00170B83" w:rsidRPr="00170B83">
        <w:rPr>
          <w:rFonts w:ascii="Cambria" w:hAnsi="Cambria" w:cstheme="minorHAnsi"/>
          <w:sz w:val="22"/>
          <w:szCs w:val="22"/>
        </w:rPr>
        <w:br/>
        <w:t xml:space="preserve">Secretária da Comissão de </w:t>
      </w:r>
    </w:p>
    <w:p w14:paraId="5053517A" w14:textId="759C5122" w:rsidR="005353CC" w:rsidRPr="00073118" w:rsidRDefault="00170B83" w:rsidP="00073118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1977949E" w14:textId="77777777" w:rsidR="005353CC" w:rsidRDefault="005353CC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142AD041" w14:textId="77777777" w:rsidR="005353CC" w:rsidRDefault="005353CC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3BD21BE5" w14:textId="77777777" w:rsidR="00107BD9" w:rsidRPr="00107BD9" w:rsidRDefault="00107BD9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6519A217" w14:textId="77777777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___________________________________________________</w:t>
      </w:r>
    </w:p>
    <w:p w14:paraId="551F179B" w14:textId="77777777" w:rsidR="00E54691" w:rsidRPr="00107BD9" w:rsidRDefault="00E54691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JEMMIFRAN DA SILVA DANTAS</w:t>
      </w:r>
    </w:p>
    <w:p w14:paraId="33E54585" w14:textId="346FFDE1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Presidente da Comissão de</w:t>
      </w:r>
    </w:p>
    <w:p w14:paraId="7DA8C466" w14:textId="77777777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</w:p>
    <w:p w14:paraId="29083DB1" w14:textId="77777777" w:rsidR="00662EB7" w:rsidRPr="00107BD9" w:rsidRDefault="00662EB7" w:rsidP="00073118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29AAFFF7" w14:textId="77777777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___________________________________________________</w:t>
      </w:r>
    </w:p>
    <w:p w14:paraId="341E2635" w14:textId="77777777" w:rsidR="00E54691" w:rsidRPr="00107BD9" w:rsidRDefault="00E54691" w:rsidP="005353CC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JARDEL DANTAS DA SILVA</w:t>
      </w:r>
    </w:p>
    <w:p w14:paraId="185CC0AE" w14:textId="0FC4BC08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Secretário da Comissão de</w:t>
      </w:r>
    </w:p>
    <w:p w14:paraId="39589D51" w14:textId="5222D0E4" w:rsidR="00E54691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</w:p>
    <w:p w14:paraId="0672188D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2E9E278E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7B8C3859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2803D0D4" w14:textId="77777777" w:rsidR="00170B83" w:rsidRPr="00107BD9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6A11F727" w14:textId="77777777" w:rsidR="00E54691" w:rsidRPr="00107BD9" w:rsidRDefault="00E54691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AA26ECF" w14:textId="3CC311B6" w:rsidR="001140E4" w:rsidRPr="00107BD9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V - </w:t>
      </w:r>
      <w:r w:rsidR="00CE2B78" w:rsidRPr="00107BD9">
        <w:rPr>
          <w:rFonts w:ascii="Cambria" w:hAnsi="Cambria" w:cstheme="minorHAnsi"/>
          <w:b/>
          <w:sz w:val="22"/>
          <w:szCs w:val="22"/>
          <w:u w:val="single"/>
        </w:rPr>
        <w:t>CONSIDERAÇÕES</w:t>
      </w:r>
      <w:r w:rsidR="001140E4"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 FINAIS </w:t>
      </w:r>
    </w:p>
    <w:p w14:paraId="442CAB78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Nos termos do </w:t>
      </w:r>
      <w:r w:rsidRPr="00073118">
        <w:rPr>
          <w:rFonts w:ascii="Cambria" w:hAnsi="Cambria" w:cstheme="minorHAnsi"/>
          <w:b/>
          <w:sz w:val="22"/>
          <w:szCs w:val="22"/>
        </w:rPr>
        <w:t>artigo 63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lastRenderedPageBreak/>
        <w:t xml:space="preserve">Cumpre esclarecer que, </w:t>
      </w:r>
      <w:r w:rsidRPr="00107BD9">
        <w:rPr>
          <w:rFonts w:ascii="Cambria" w:hAnsi="Cambria" w:cstheme="minorHAnsi"/>
          <w:b/>
          <w:sz w:val="22"/>
          <w:szCs w:val="22"/>
        </w:rPr>
        <w:t>conforme o parágrafo único do referido artigo</w:t>
      </w:r>
      <w:r w:rsidRPr="00107BD9">
        <w:rPr>
          <w:rFonts w:ascii="Cambria" w:hAnsi="Cambria" w:cstheme="minorHAnsi"/>
          <w:bCs/>
          <w:sz w:val="22"/>
          <w:szCs w:val="22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Assim, o presente parecer atende integralmente aos requisitos legais e regimentais, contando com a participação técnica da Procuradora Jurídica para assegurar sua conformidade e validade.</w:t>
      </w:r>
    </w:p>
    <w:p w14:paraId="52CC9EEE" w14:textId="77777777" w:rsidR="00E54691" w:rsidRPr="00107BD9" w:rsidRDefault="00E54691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</w:p>
    <w:p w14:paraId="51162898" w14:textId="4801AFB5" w:rsidR="00182A38" w:rsidRDefault="00182A38" w:rsidP="00182A38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C06286">
        <w:rPr>
          <w:rFonts w:ascii="Cambria" w:hAnsi="Cambria" w:cstheme="minorHAnsi"/>
          <w:sz w:val="22"/>
          <w:szCs w:val="22"/>
        </w:rPr>
        <w:t>16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abril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520A7E38" w14:textId="77777777" w:rsidR="00073118" w:rsidRPr="00107BD9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2"/>
          <w:szCs w:val="22"/>
        </w:rPr>
      </w:pPr>
    </w:p>
    <w:p w14:paraId="637E615C" w14:textId="17EB2011" w:rsidR="00CF6689" w:rsidRPr="00107BD9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__________________________________________________________</w:t>
      </w:r>
    </w:p>
    <w:p w14:paraId="15DDC92F" w14:textId="42878176" w:rsidR="00E70C84" w:rsidRPr="00107BD9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2"/>
          <w:szCs w:val="22"/>
        </w:rPr>
      </w:pPr>
      <w:r w:rsidRPr="00107BD9">
        <w:rPr>
          <w:rFonts w:ascii="Cambria" w:hAnsi="Cambria" w:cstheme="minorHAnsi"/>
          <w:b/>
          <w:sz w:val="22"/>
          <w:szCs w:val="22"/>
        </w:rPr>
        <w:t>JANIARYA LOURENA DE AZEVEDO DANTAS</w:t>
      </w:r>
    </w:p>
    <w:p w14:paraId="3D3C5A82" w14:textId="1E280578" w:rsidR="00FA5355" w:rsidRPr="00107BD9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Procuradora Jurídica </w:t>
      </w:r>
      <w:r w:rsidR="00CF6689" w:rsidRPr="00107BD9">
        <w:rPr>
          <w:rFonts w:ascii="Cambria" w:hAnsi="Cambria" w:cstheme="minorHAnsi"/>
          <w:bCs/>
          <w:sz w:val="22"/>
          <w:szCs w:val="22"/>
        </w:rPr>
        <w:t xml:space="preserve">- </w:t>
      </w:r>
      <w:r w:rsidR="00F50D08" w:rsidRPr="00107BD9">
        <w:rPr>
          <w:rFonts w:ascii="Cambria" w:hAnsi="Cambria" w:cstheme="minorHAnsi"/>
          <w:bCs/>
          <w:sz w:val="22"/>
          <w:szCs w:val="22"/>
        </w:rPr>
        <w:t xml:space="preserve">Portaria </w:t>
      </w:r>
      <w:r w:rsidR="0023663C" w:rsidRPr="00107BD9">
        <w:rPr>
          <w:rFonts w:ascii="Cambria" w:hAnsi="Cambria" w:cstheme="minorHAnsi"/>
          <w:bCs/>
          <w:sz w:val="22"/>
          <w:szCs w:val="22"/>
        </w:rPr>
        <w:t>nº 0</w:t>
      </w:r>
      <w:r w:rsidR="00073118">
        <w:rPr>
          <w:rFonts w:ascii="Cambria" w:hAnsi="Cambria" w:cstheme="minorHAnsi"/>
          <w:bCs/>
          <w:sz w:val="22"/>
          <w:szCs w:val="22"/>
        </w:rPr>
        <w:t>0</w:t>
      </w:r>
      <w:r w:rsidR="00124B23">
        <w:rPr>
          <w:rFonts w:ascii="Cambria" w:hAnsi="Cambria" w:cstheme="minorHAnsi"/>
          <w:bCs/>
          <w:sz w:val="22"/>
          <w:szCs w:val="22"/>
        </w:rPr>
        <w:t>7</w:t>
      </w:r>
      <w:r w:rsidR="0023663C" w:rsidRPr="00107BD9">
        <w:rPr>
          <w:rFonts w:ascii="Cambria" w:hAnsi="Cambria" w:cstheme="minorHAnsi"/>
          <w:bCs/>
          <w:sz w:val="22"/>
          <w:szCs w:val="22"/>
        </w:rPr>
        <w:t>/202</w:t>
      </w:r>
      <w:r w:rsidR="00073118">
        <w:rPr>
          <w:rFonts w:ascii="Cambria" w:hAnsi="Cambria" w:cstheme="minorHAnsi"/>
          <w:bCs/>
          <w:sz w:val="22"/>
          <w:szCs w:val="22"/>
        </w:rPr>
        <w:t>6</w:t>
      </w:r>
      <w:r w:rsidR="00625F1B" w:rsidRPr="00107BD9">
        <w:rPr>
          <w:rFonts w:ascii="Cambria" w:hAnsi="Cambria" w:cstheme="minorHAnsi"/>
          <w:bCs/>
          <w:sz w:val="22"/>
          <w:szCs w:val="22"/>
        </w:rPr>
        <w:br/>
        <w:t>Advogada OAB/RN 19025</w:t>
      </w:r>
    </w:p>
    <w:sectPr w:rsidR="00FA5355" w:rsidRPr="00107BD9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39BC4" w14:textId="77777777" w:rsidR="00E123CE" w:rsidRDefault="00E123CE">
      <w:pPr>
        <w:rPr>
          <w:rFonts w:hint="eastAsia"/>
        </w:rPr>
      </w:pPr>
      <w:r>
        <w:separator/>
      </w:r>
    </w:p>
  </w:endnote>
  <w:endnote w:type="continuationSeparator" w:id="0">
    <w:p w14:paraId="3F242258" w14:textId="77777777" w:rsidR="00E123CE" w:rsidRDefault="00E123CE">
      <w:pPr>
        <w:rPr>
          <w:rFonts w:hint="eastAsia"/>
        </w:rPr>
      </w:pPr>
      <w:r>
        <w:continuationSeparator/>
      </w:r>
    </w:p>
  </w:endnote>
  <w:endnote w:type="continuationNotice" w:id="1">
    <w:p w14:paraId="6CE62B19" w14:textId="77777777" w:rsidR="00E123CE" w:rsidRDefault="00E123CE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402AB" w14:textId="77777777" w:rsidR="00E123CE" w:rsidRDefault="00E123CE">
      <w:pPr>
        <w:rPr>
          <w:rFonts w:hint="eastAsia"/>
        </w:rPr>
      </w:pPr>
      <w:r>
        <w:separator/>
      </w:r>
    </w:p>
  </w:footnote>
  <w:footnote w:type="continuationSeparator" w:id="0">
    <w:p w14:paraId="214E7B88" w14:textId="77777777" w:rsidR="00E123CE" w:rsidRDefault="00E123CE">
      <w:pPr>
        <w:rPr>
          <w:rFonts w:hint="eastAsia"/>
        </w:rPr>
      </w:pPr>
      <w:r>
        <w:continuationSeparator/>
      </w:r>
    </w:p>
  </w:footnote>
  <w:footnote w:type="continuationNotice" w:id="1">
    <w:p w14:paraId="3B6A88D8" w14:textId="77777777" w:rsidR="00E123CE" w:rsidRDefault="00E123CE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818B0"/>
    <w:multiLevelType w:val="hybridMultilevel"/>
    <w:tmpl w:val="7D78EFD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850CB"/>
    <w:multiLevelType w:val="hybridMultilevel"/>
    <w:tmpl w:val="F90CD39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B92528"/>
    <w:multiLevelType w:val="hybridMultilevel"/>
    <w:tmpl w:val="61FA24C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3"/>
  </w:num>
  <w:num w:numId="2" w16cid:durableId="2032536700">
    <w:abstractNumId w:val="1"/>
  </w:num>
  <w:num w:numId="3" w16cid:durableId="1403021033">
    <w:abstractNumId w:val="2"/>
  </w:num>
  <w:num w:numId="4" w16cid:durableId="22637600">
    <w:abstractNumId w:val="6"/>
  </w:num>
  <w:num w:numId="5" w16cid:durableId="701705847">
    <w:abstractNumId w:val="4"/>
  </w:num>
  <w:num w:numId="6" w16cid:durableId="772820754">
    <w:abstractNumId w:val="8"/>
  </w:num>
  <w:num w:numId="7" w16cid:durableId="1284117957">
    <w:abstractNumId w:val="5"/>
  </w:num>
  <w:num w:numId="8" w16cid:durableId="853542898">
    <w:abstractNumId w:val="0"/>
  </w:num>
  <w:num w:numId="9" w16cid:durableId="1486702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1D8D"/>
    <w:rsid w:val="000E4977"/>
    <w:rsid w:val="000F361E"/>
    <w:rsid w:val="00107BD9"/>
    <w:rsid w:val="001140E4"/>
    <w:rsid w:val="00124B23"/>
    <w:rsid w:val="001440EB"/>
    <w:rsid w:val="00167D6C"/>
    <w:rsid w:val="00170B83"/>
    <w:rsid w:val="001829C3"/>
    <w:rsid w:val="00182A38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7C82"/>
    <w:rsid w:val="002E625C"/>
    <w:rsid w:val="002E7833"/>
    <w:rsid w:val="002F2844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4343A"/>
    <w:rsid w:val="00453E46"/>
    <w:rsid w:val="00472C49"/>
    <w:rsid w:val="00494BB6"/>
    <w:rsid w:val="004A2094"/>
    <w:rsid w:val="004B48C5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73E41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61191"/>
    <w:rsid w:val="00861C94"/>
    <w:rsid w:val="00864FEB"/>
    <w:rsid w:val="00867CC1"/>
    <w:rsid w:val="00871FD3"/>
    <w:rsid w:val="00877E84"/>
    <w:rsid w:val="00881726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10F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A89"/>
    <w:rsid w:val="00BF0FD0"/>
    <w:rsid w:val="00BF186E"/>
    <w:rsid w:val="00C019E0"/>
    <w:rsid w:val="00C055ED"/>
    <w:rsid w:val="00C06286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1405"/>
    <w:rsid w:val="00C820CD"/>
    <w:rsid w:val="00CA11D9"/>
    <w:rsid w:val="00CB505C"/>
    <w:rsid w:val="00CC4F5F"/>
    <w:rsid w:val="00CD0419"/>
    <w:rsid w:val="00CE2B78"/>
    <w:rsid w:val="00CE7E51"/>
    <w:rsid w:val="00CF2750"/>
    <w:rsid w:val="00CF6689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23CE"/>
    <w:rsid w:val="00E1642C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34132"/>
    <w:rsid w:val="00F5062B"/>
    <w:rsid w:val="00F50D08"/>
    <w:rsid w:val="00F5569E"/>
    <w:rsid w:val="00F56D8D"/>
    <w:rsid w:val="00F572EF"/>
    <w:rsid w:val="00F600E7"/>
    <w:rsid w:val="00F84B6E"/>
    <w:rsid w:val="00F91C45"/>
    <w:rsid w:val="00F94A91"/>
    <w:rsid w:val="00F9548B"/>
    <w:rsid w:val="00F96338"/>
    <w:rsid w:val="00F97CAE"/>
    <w:rsid w:val="00FA4DB8"/>
    <w:rsid w:val="00FA5355"/>
    <w:rsid w:val="00FB1524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1125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4</cp:revision>
  <cp:lastPrinted>2025-09-24T18:54:00Z</cp:lastPrinted>
  <dcterms:created xsi:type="dcterms:W3CDTF">2026-03-04T17:36:00Z</dcterms:created>
  <dcterms:modified xsi:type="dcterms:W3CDTF">2026-04-22T15:44:00Z</dcterms:modified>
  <dc:language>pt-BR</dc:language>
</cp:coreProperties>
</file>