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2648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026482" w:rsidRPr="00026482">
        <w:rPr>
          <w:sz w:val="24"/>
          <w:szCs w:val="24"/>
        </w:rPr>
        <w:t>que determine ao setor competente a realização da Semana Municipal do Empreendedorismo, com palestras, capacitações e ações de incentivo aos pequenos e médios negócios, empreendedores locais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026482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2648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incentivar o empreendedorismo, fortalecer a economia local e promover oportunidades de capacitação, inovação e geração de renda para a população. A realização da Semana</w:t>
      </w:r>
      <w:r w:rsidR="006F4C2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Municipal do Empreendedorismo </w:t>
      </w:r>
      <w:bookmarkStart w:id="0" w:name="_GoBack"/>
      <w:bookmarkEnd w:id="0"/>
      <w:r w:rsidRPr="00026482">
        <w:rPr>
          <w:rFonts w:asciiTheme="minorHAnsi" w:eastAsia="Times New Roman" w:hAnsiTheme="minorHAnsi" w:cstheme="minorHAnsi"/>
          <w:sz w:val="24"/>
          <w:szCs w:val="24"/>
          <w:lang w:eastAsia="pt-BR"/>
        </w:rPr>
        <w:t>e exposição de empresas locais, contribuirá para valorizar os empreendedores do município, ampliar oportunidades de networking, estimular novos negócios e fortalecer o comércio local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0007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00073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6F4C2A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2C6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1F86FCF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9D6D8E-5A50-467B-AB0D-4D536DDD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