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2834.645669291339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AO PROJETO DE LEI  Nº 252/ 2026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keepNext w:val="0"/>
        <w:spacing w:after="80" w:before="280" w:line="276" w:lineRule="auto"/>
        <w:ind w:left="0" w:firstLine="0"/>
        <w:rPr>
          <w:sz w:val="26"/>
          <w:szCs w:val="26"/>
        </w:rPr>
      </w:pPr>
      <w:bookmarkStart w:colFirst="0" w:colLast="0" w:name="_heading=h.322d4vqx99z6" w:id="0"/>
      <w:bookmarkEnd w:id="0"/>
      <w:r w:rsidDel="00000000" w:rsidR="00000000" w:rsidRPr="00000000">
        <w:rPr>
          <w:sz w:val="26"/>
          <w:szCs w:val="26"/>
          <w:rtl w:val="0"/>
        </w:rPr>
        <w:t xml:space="preserve">EMENDA ADITIVA</w:t>
      </w:r>
    </w:p>
    <w:p w:rsidR="00000000" w:rsidDel="00000000" w:rsidP="00000000" w:rsidRDefault="00000000" w:rsidRPr="00000000" w14:paraId="00000005">
      <w:pPr>
        <w:spacing w:after="240" w:before="240" w:line="276" w:lineRule="auto"/>
        <w:ind w:left="2834.645669291339" w:firstLine="0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Acrescenta o artigo 7º-C ao Projeto de Lei nº 252/2026.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 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Fica acrescido o artigo 7º-C ao Projeto de Lei nº 252/2026, com a seguinte redação:</w: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“Art. 7º-C 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Municipal de Saúde deverá adotar mecanismos de acompanhamento do tempo de espera dos usuários encaminhados à rede complementar, observando critérios de priorização relacionados à gravidade clínica, risco de agravamento do quadro de saúde e necessidade de continuidade terapêutica.</w:t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850.393700787401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§1º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Respeitadas as disposições da Lei Geral de Proteção de Dados Pessoais – LGPD e demais normas aplicáveis à proteção de dados, a Secretaria Municipal de Saúde deverá disponibilizar consulta pública às listas de espera das especialidades atendidas pela rede complementar credenciada, observados mecanismos de anonimização e proteção das informações pessoais dos usuários.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850.393700787401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§2º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Os casos classificados como prioritários deverão ser precedidos de relatório, laudo ou justificativa médica fundamentada que demonstre a necessidade clínica da priorização do atendimento.”</w:t>
      </w:r>
    </w:p>
    <w:p w:rsidR="00000000" w:rsidDel="00000000" w:rsidP="00000000" w:rsidRDefault="00000000" w:rsidRPr="00000000" w14:paraId="0000000A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0B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 U S T I F I C A T I V A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objetiva fortalecer os mecanismos de regulação assistencial, transparência e acompanhamento da demanda especializada no âmbito da rede complementar municipal de saúde.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medida busca assegurar maior controle do tempo de espera dos usuários do SUS, observância de critérios técnicos de priorização clínica e publicidade das filas de atendimento, respeitadas as disposições da Lei Geral de Proteção de Dados Pessoais – LGPD, contribuindo para maior eficiência, transparência e efetividade da política pública de saúde.</w:t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14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80" w:before="28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8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9" w:w="11907" w:orient="portrait"/>
      <w:pgMar w:bottom="993" w:top="1134" w:left="1701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27">
    <w:pPr>
      <w:tabs>
        <w:tab w:val="center" w:leader="none" w:pos="4419"/>
        <w:tab w:val="right" w:leader="none" w:pos="8838"/>
      </w:tabs>
      <w:jc w:val="center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74.0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0"/>
        <w:trHeight w:val="1951" w:hRule="atLeast"/>
        <w:tblHeader w:val="0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09625" cy="91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2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www.camaraibiuna.sp.gov.br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camaraibiuna@camaraibiuna.sp.gov.br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i w:val="1"/>
      <w:i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spacing w:line="288" w:lineRule="auto"/>
      <w:ind w:left="2835" w:firstLine="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line="288" w:lineRule="auto"/>
      <w:ind w:left="0" w:firstLine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firstLine="0"/>
      <w:jc w:val="both"/>
    </w:pPr>
    <w:rPr>
      <w:rFonts w:ascii="Arial" w:cs="Arial" w:eastAsia="Arial" w:hAnsi="Arial"/>
      <w:i w:val="1"/>
      <w:iCs w:val="1"/>
      <w:sz w:val="24"/>
      <w:szCs w:val="24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www.camaraibiuna.sp.gov.br/" TargetMode="External"/><Relationship Id="rId3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7U+UI4iNeqS4exZCcpfm6pJnLg==">CgMxLjAyDmguMzIyZDR2cXg5OXo2OAByITE4TEZxZ2JGR0tEZ2lHZVRPVDhjQ3dXT3YtczRXME5NbA==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2025-07-02T13:44:27Z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0c742752-0653-4257-b488-a33e2610d90c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0x0101005E49EE02640C84429CCE5A8D66DE8302</vt:lpwstr>
  </property>
</Properties>
</file>