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F1CA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F1CA8" w:rsidRPr="005F1CA8">
        <w:rPr>
          <w:sz w:val="24"/>
          <w:szCs w:val="24"/>
        </w:rPr>
        <w:t>que determine ao setor competente a aquisição de uma máquina robotizada para corte de grama, destinada à manutenção dos jardins, praças, canteiros e demais espaços públicos do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F1CA8" w:rsidRPr="005F1CA8" w:rsidRDefault="005F1CA8" w:rsidP="005F1CA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1CA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modernizar e otimizar os serviços de manutenção das áreas verdes do município, proporcionando maior eficiência, economia e qualidade na conservação dos espaços públicos.</w:t>
      </w:r>
    </w:p>
    <w:p w:rsidR="005F1CA8" w:rsidRPr="005F1CA8" w:rsidRDefault="005F1CA8" w:rsidP="005F1CA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1CA8">
        <w:rPr>
          <w:rFonts w:asciiTheme="minorHAnsi" w:eastAsia="Times New Roman" w:hAnsiTheme="minorHAnsi" w:cstheme="minorHAnsi"/>
          <w:sz w:val="24"/>
          <w:szCs w:val="24"/>
          <w:lang w:eastAsia="pt-BR"/>
        </w:rPr>
        <w:t>A utilização de máquina robotizada para corte de grama representa um importante avanço tecnológico para a administração pública, permitindo a realização contínua e padronizada do serviço, com redução de custos operacionais relacionados a combustível, manutenção de equipamentos convencionais e mão de obra excessiva.</w:t>
      </w:r>
    </w:p>
    <w:p w:rsidR="005F1CA8" w:rsidRPr="005F1CA8" w:rsidRDefault="005F1CA8" w:rsidP="005F1CA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1CA8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o equipamento contribui para a sustentabilidade ambiental, por operar com baixo consumo de energia e menor emissão de poluentes e ruídos, promovendo mais conforto à população e aos servidores responsáveis pela manutenção urbana.</w:t>
      </w:r>
    </w:p>
    <w:p w:rsidR="001C2D93" w:rsidRDefault="005F1CA8" w:rsidP="005F1CA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1CA8">
        <w:rPr>
          <w:rFonts w:asciiTheme="minorHAnsi" w:eastAsia="Times New Roman" w:hAnsiTheme="minorHAnsi" w:cstheme="minorHAnsi"/>
          <w:sz w:val="24"/>
          <w:szCs w:val="24"/>
          <w:lang w:eastAsia="pt-BR"/>
        </w:rPr>
        <w:t>A aquisição também possibilitará maior agilidade na conservação de praças, jardins e áreas de lazer, garantindo espaços públicos mais limpos, organizados e agradáveis para utilização da comunidade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77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776D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0B1687B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AF482C-303C-45C0-9BFC-DE507676F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2026-05-13T12:26:00Z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