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5A609B" w:rsidP="005A60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nº268/1962</w:t>
      </w:r>
    </w:p>
    <w:p w:rsidR="005A609B" w:rsidRDefault="005A609B" w:rsidP="005A609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denominação a logradouro público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 por seus representantes na Câmara Municipal decreta e eu, em seu nome, sanciono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a seguinte lei: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Denominar-se a Rua Prefeito Aziz Gabriel, qualquer das ruas desta cidade, ainda sem denominação.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Fica o senhor Prefeito Municipal autorizado a providenciar a confecção e colocação da respectiva placa, fazendo as despesas que se tornarem necessárias, para tal abrindo o respectivo Crédito.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 tão inteiramente como nela se contém.</w:t>
      </w:r>
    </w:p>
    <w:p w:rsid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26 de novembro de 1962.</w:t>
      </w:r>
    </w:p>
    <w:p w:rsidR="005A609B" w:rsidRPr="005A609B" w:rsidRDefault="005A609B" w:rsidP="005A60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                                                                                           Prefeito Municipal</w:t>
      </w:r>
    </w:p>
    <w:sectPr w:rsidR="005A609B" w:rsidRPr="005A609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A609B"/>
    <w:rsid w:val="002447BF"/>
    <w:rsid w:val="005A609B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763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2014-06-25T19:44:00Z</dcterms:created>
  <dcterms:modified xsi:type="dcterms:W3CDTF">2014-06-25T19:49:00Z</dcterms:modified>
</cp:coreProperties>
</file>