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 Nº  608, 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479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EDSON VALGAS DE PAIVA.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rtl w:val="0"/>
        </w:rPr>
        <w:t xml:space="preserve">:</w:t>
      </w:r>
    </w:p>
    <w:p w:rsidR="00000000" w:rsidDel="00000000" w:rsidP="00000000" w:rsidRDefault="00000000" w:rsidRPr="00000000" w14:paraId="0000000A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Comenda “Alexandre Torquetti” </w:t>
      </w:r>
      <w:r w:rsidDel="00000000" w:rsidR="00000000" w:rsidRPr="00000000">
        <w:rPr>
          <w:rFonts w:ascii="Arial" w:cs="Arial" w:eastAsia="Arial" w:hAnsi="Arial"/>
          <w:rtl w:val="0"/>
        </w:rPr>
        <w:t xml:space="preserve">ao Senhor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EDSON VALGAS DE PAIVA,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240, II, da Resolução nº 451, de 1º de junho de 2023. </w:t>
      </w:r>
    </w:p>
    <w:p w:rsidR="00000000" w:rsidDel="00000000" w:rsidP="00000000" w:rsidRDefault="00000000" w:rsidRPr="00000000" w14:paraId="0000000C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durante Sessão Solene da Câmara Municipal de Timóteo,  em data a ser agendada pela Mesa Diretora.</w:t>
      </w:r>
    </w:p>
    <w:p w:rsidR="00000000" w:rsidDel="00000000" w:rsidP="00000000" w:rsidRDefault="00000000" w:rsidRPr="00000000" w14:paraId="0000000E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10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</w:p>
    <w:p w:rsidR="00000000" w:rsidDel="00000000" w:rsidP="00000000" w:rsidRDefault="00000000" w:rsidRPr="00000000" w14:paraId="00000017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Presidente</w:t>
      </w:r>
    </w:p>
    <w:p w:rsidR="00000000" w:rsidDel="00000000" w:rsidP="00000000" w:rsidRDefault="00000000" w:rsidRPr="00000000" w14:paraId="00000018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Pastora Sônia Andrade</w:t>
      </w:r>
    </w:p>
    <w:p w:rsidR="00000000" w:rsidDel="00000000" w:rsidP="00000000" w:rsidRDefault="00000000" w:rsidRPr="00000000" w14:paraId="0000001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tabs>
          <w:tab w:val="left" w:leader="none" w:pos="1800"/>
        </w:tabs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1ª Secretária</w:t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"/>
    <w:next w:val="Normal11"/>
    <w:qFormat w:val="1"/>
    <w:pPr>
      <w:widowControl w:val="1"/>
      <w:suppressAutoHyphens w:val="0"/>
      <w:overflowPunct w:val="0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"/>
    <w:qFormat w:val="1"/>
    <w:pPr>
      <w:widowControl w:val="1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"/>
    <w:qFormat w:val="1"/>
    <w:pPr>
      <w:widowControl w:val="1"/>
      <w:suppressAutoHyphens w:val="0"/>
      <w:overflowPunct w:val="0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"/>
    <w:qFormat w:val="1"/>
    <w:pPr>
      <w:widowControl w:val="1"/>
      <w:suppressAutoHyphens w:val="0"/>
      <w:overflowPunct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"/>
    <w:qFormat w:val="1"/>
    <w:pPr>
      <w:widowControl w:val="0"/>
      <w:suppressAutoHyphens w:val="0"/>
      <w:overflowPunct w:val="0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"/>
    <w:qFormat w:val="1"/>
    <w:pPr>
      <w:widowControl w:val="1"/>
      <w:suppressLineNumbers w:val="1"/>
      <w:suppressAutoHyphens w:val="0"/>
      <w:overflowPunct w:val="0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"/>
    <w:qFormat w:val="1"/>
    <w:pPr>
      <w:widowControl w:val="1"/>
      <w:suppressAutoHyphens w:val="0"/>
      <w:overflowPunct w:val="0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0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265op3FrKnpJVzk11hS5Nhs2VA==">CgMxLjA4AHIhMWFGaFBKT0ZKT3FKMUpuczFGSXk3LWpqOXlrRVVYekhV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