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958" w:rsidRPr="008E2E4E" w:rsidRDefault="00BD6958" w:rsidP="00BD6958">
      <w:pPr>
        <w:spacing w:line="360" w:lineRule="auto"/>
        <w:jc w:val="center"/>
        <w:rPr>
          <w:rFonts w:asciiTheme="minorHAnsi" w:eastAsia="Times New Roman" w:hAnsiTheme="minorHAnsi" w:cs="Calibri"/>
          <w:b/>
          <w:sz w:val="28"/>
          <w:szCs w:val="28"/>
          <w:lang w:eastAsia="pt-BR"/>
        </w:rPr>
      </w:pPr>
      <w:r w:rsidRPr="008E2E4E">
        <w:rPr>
          <w:rFonts w:asciiTheme="minorHAnsi" w:eastAsia="Times New Roman" w:hAnsiTheme="minorHAnsi" w:cs="Calibri"/>
          <w:b/>
          <w:sz w:val="28"/>
          <w:szCs w:val="28"/>
          <w:lang w:eastAsia="pt-BR"/>
        </w:rPr>
        <w:t>PROJETO DE LEI Nº 29/2021 DE 05 DE NOVEMBRO DE 2021.</w:t>
      </w:r>
    </w:p>
    <w:p w:rsidR="00BD6958" w:rsidRPr="008E2E4E" w:rsidRDefault="00BD6958" w:rsidP="00EF3170">
      <w:pPr>
        <w:spacing w:line="360" w:lineRule="auto"/>
        <w:ind w:left="2694"/>
        <w:rPr>
          <w:rFonts w:asciiTheme="minorHAnsi" w:eastAsia="Times New Roman" w:hAnsiTheme="minorHAnsi" w:cs="Calibri"/>
          <w:b/>
          <w:i/>
          <w:sz w:val="28"/>
          <w:szCs w:val="28"/>
          <w:lang w:eastAsia="pt-BR"/>
        </w:rPr>
      </w:pPr>
      <w:r w:rsidRPr="008E2E4E">
        <w:rPr>
          <w:rFonts w:asciiTheme="minorHAnsi" w:eastAsia="Times New Roman" w:hAnsiTheme="minorHAnsi" w:cs="Calibri"/>
          <w:b/>
          <w:i/>
          <w:sz w:val="28"/>
          <w:szCs w:val="28"/>
          <w:lang w:eastAsia="pt-BR"/>
        </w:rPr>
        <w:t>“IMPOSTO DE RENDA SOLIDÁRIO”</w:t>
      </w:r>
    </w:p>
    <w:p w:rsidR="00BD6958" w:rsidRDefault="00BD6958" w:rsidP="008E2E4E">
      <w:pPr>
        <w:spacing w:line="276" w:lineRule="auto"/>
        <w:ind w:left="2694"/>
        <w:jc w:val="both"/>
        <w:rPr>
          <w:rFonts w:asciiTheme="minorHAnsi" w:hAnsiTheme="minorHAnsi" w:cs="Calibri"/>
          <w:b/>
          <w:sz w:val="28"/>
          <w:szCs w:val="28"/>
        </w:rPr>
      </w:pPr>
      <w:r w:rsidRPr="008E2E4E">
        <w:rPr>
          <w:rFonts w:asciiTheme="minorHAnsi" w:hAnsiTheme="minorHAnsi" w:cs="Calibri"/>
          <w:b/>
          <w:sz w:val="28"/>
          <w:szCs w:val="28"/>
        </w:rPr>
        <w:t xml:space="preserve">DISPÕE SOBRE A OBRIGATORIEDADE DE PUBLICIDADE, NOS MEIOS QUE ESPECIFICA, DE TEXTOS INFORMATIVOS DE INCENTIVO À ADESÃO AO IMPOSTO DE RENDA SOLIDÁRIO, E DÁ OUTRAS PROVIDÊNCIAS </w:t>
      </w:r>
    </w:p>
    <w:p w:rsidR="005F62D9" w:rsidRPr="008E2E4E" w:rsidRDefault="005F62D9" w:rsidP="008E2E4E">
      <w:pPr>
        <w:spacing w:line="276" w:lineRule="auto"/>
        <w:ind w:left="2694"/>
        <w:jc w:val="both"/>
        <w:rPr>
          <w:rFonts w:asciiTheme="minorHAnsi" w:hAnsiTheme="minorHAnsi" w:cs="Calibri"/>
          <w:b/>
          <w:sz w:val="28"/>
          <w:szCs w:val="28"/>
        </w:rPr>
      </w:pP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proofErr w:type="spellStart"/>
      <w:r w:rsidRPr="008E2E4E">
        <w:rPr>
          <w:rFonts w:asciiTheme="minorHAnsi" w:hAnsiTheme="minorHAnsi" w:cs="Calibri"/>
          <w:b/>
          <w:sz w:val="28"/>
          <w:szCs w:val="28"/>
        </w:rPr>
        <w:t>Art</w:t>
      </w:r>
      <w:proofErr w:type="spellEnd"/>
      <w:r w:rsidRPr="008E2E4E">
        <w:rPr>
          <w:rFonts w:asciiTheme="minorHAnsi" w:hAnsiTheme="minorHAnsi" w:cs="Calibri"/>
          <w:b/>
          <w:sz w:val="28"/>
          <w:szCs w:val="28"/>
        </w:rPr>
        <w:t xml:space="preserve"> 1º</w:t>
      </w:r>
      <w:r w:rsidRPr="008E2E4E">
        <w:rPr>
          <w:rFonts w:asciiTheme="minorHAnsi" w:hAnsiTheme="minorHAnsi" w:cs="Calibri"/>
          <w:sz w:val="28"/>
          <w:szCs w:val="28"/>
        </w:rPr>
        <w:t xml:space="preserve"> Torna-se obrigatória, por essa Lei, a publicidade, nos meios que especifica, de textos informativos de incentivo à adesão ao </w:t>
      </w:r>
      <w:r w:rsidRPr="008E2E4E">
        <w:rPr>
          <w:rFonts w:asciiTheme="minorHAnsi" w:hAnsiTheme="minorHAnsi" w:cs="Calibri"/>
          <w:b/>
          <w:i/>
          <w:sz w:val="28"/>
          <w:szCs w:val="28"/>
        </w:rPr>
        <w:t>Imposto de Renda Solidário</w:t>
      </w:r>
      <w:r w:rsidRPr="008E2E4E">
        <w:rPr>
          <w:rFonts w:asciiTheme="minorHAnsi" w:hAnsiTheme="minorHAnsi" w:cs="Calibri"/>
          <w:sz w:val="28"/>
          <w:szCs w:val="28"/>
        </w:rPr>
        <w:t xml:space="preserve">, através da doação para as </w:t>
      </w:r>
      <w:r w:rsidRPr="008E2E4E">
        <w:rPr>
          <w:rFonts w:asciiTheme="minorHAnsi" w:hAnsiTheme="minorHAnsi" w:cs="Calibri"/>
          <w:b/>
          <w:sz w:val="28"/>
          <w:szCs w:val="28"/>
        </w:rPr>
        <w:t>Entidades de Nova Prata RS</w:t>
      </w:r>
      <w:r w:rsidRPr="008E2E4E">
        <w:rPr>
          <w:rFonts w:asciiTheme="minorHAnsi" w:hAnsiTheme="minorHAnsi" w:cs="Calibri"/>
          <w:sz w:val="28"/>
          <w:szCs w:val="28"/>
        </w:rPr>
        <w:t>, através Fundo Municipal dos Direitos da Criança e do Adolescente no Município de Nova Prata RS.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b/>
          <w:sz w:val="28"/>
          <w:szCs w:val="28"/>
        </w:rPr>
        <w:t>§ 1º</w:t>
      </w:r>
      <w:r w:rsidRPr="008E2E4E">
        <w:rPr>
          <w:rFonts w:asciiTheme="minorHAnsi" w:hAnsiTheme="minorHAnsi" w:cs="Calibri"/>
          <w:sz w:val="28"/>
          <w:szCs w:val="28"/>
        </w:rPr>
        <w:t xml:space="preserve"> A doação referida no caput deste artigo diz respeito, em primeira monta, àquela autorizada pela Lei Federal nº 8.069/90, que em seu artigo 260 determina que "Os contribuintes poderão efetuar doações aos Fundos dos Direitos da Criança e do Adolescente nacional, distrital, estaduais ou municipais devidamente comprovadas, sendo essas integralmente deduzidas do imposto de renda, obedecidos os seguintes limites: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 xml:space="preserve">I - 1% (um por cento) do imposto sobre a renda devido apurado pelas pessoas jurídicas tributadas com base no lucro real; 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II - 6% (seis por cento) do imposto sobre a renda apurado pela pessoa física na Declaração de Ajuste Anual, observado o disposto no art. 22 da Lei no 9.5</w:t>
      </w:r>
      <w:r w:rsidR="008E2E4E">
        <w:rPr>
          <w:rFonts w:asciiTheme="minorHAnsi" w:hAnsiTheme="minorHAnsi" w:cs="Calibri"/>
          <w:sz w:val="28"/>
          <w:szCs w:val="28"/>
        </w:rPr>
        <w:t>32, de 10 de dezembro de 1997".</w:t>
      </w:r>
    </w:p>
    <w:p w:rsid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b/>
          <w:sz w:val="28"/>
          <w:szCs w:val="28"/>
        </w:rPr>
        <w:t>§ 2º</w:t>
      </w:r>
      <w:r w:rsidRPr="008E2E4E">
        <w:rPr>
          <w:rFonts w:asciiTheme="minorHAnsi" w:hAnsiTheme="minorHAnsi" w:cs="Calibri"/>
          <w:sz w:val="28"/>
          <w:szCs w:val="28"/>
        </w:rPr>
        <w:t xml:space="preserve"> A publicidade, objeto desta Lei, deverá ser feita através de todos os meios disponíveis no Município, regularmente utilizados pe</w:t>
      </w:r>
      <w:r w:rsidR="008E2E4E">
        <w:rPr>
          <w:rFonts w:asciiTheme="minorHAnsi" w:hAnsiTheme="minorHAnsi" w:cs="Calibri"/>
          <w:sz w:val="28"/>
          <w:szCs w:val="28"/>
        </w:rPr>
        <w:t>lo Poder Executivo e pelo Poder</w:t>
      </w:r>
      <w:r w:rsidRPr="008E2E4E">
        <w:rPr>
          <w:rFonts w:asciiTheme="minorHAnsi" w:hAnsiTheme="minorHAnsi" w:cs="Calibri"/>
          <w:sz w:val="28"/>
          <w:szCs w:val="28"/>
        </w:rPr>
        <w:t xml:space="preserve"> Legislativo, tais como meios radiofônicos, telemáticos, impressos, folders, internet, páginas eletrônicas do Município e da Câmara Municipal, assim como os periódicos ou qualquer material gráfico por eles editado, incluindo carnês, boletos e guias de tributos e tarifas municipais.</w:t>
      </w:r>
    </w:p>
    <w:p w:rsidR="008E2E4E" w:rsidRDefault="008E2E4E" w:rsidP="008E2E4E">
      <w:pPr>
        <w:spacing w:line="276" w:lineRule="auto"/>
        <w:ind w:firstLine="851"/>
        <w:jc w:val="both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lastRenderedPageBreak/>
        <w:t>I – A publicidade também informará, que a entidade precisa estar registrada no Conselho dos Direitos da Criança e do Adolescente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b/>
          <w:sz w:val="28"/>
          <w:szCs w:val="28"/>
        </w:rPr>
        <w:t>Art. 2º</w:t>
      </w:r>
      <w:r w:rsidRPr="008E2E4E">
        <w:rPr>
          <w:rFonts w:asciiTheme="minorHAnsi" w:hAnsiTheme="minorHAnsi" w:cs="Calibri"/>
          <w:sz w:val="28"/>
          <w:szCs w:val="28"/>
        </w:rPr>
        <w:t xml:space="preserve"> Deverá constar na publicidade o Cadastro Nacional de Pessoa Jurídica - CNPJ dos Fundos Municipais e a descrição do Banco, Agência, Conta Bancária e demais dados necessários que possibilitem a destinação da doação para o fundo correspondente que permita o posterior abatimento da doação no Imposto de Renda do doador.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b/>
          <w:sz w:val="28"/>
          <w:szCs w:val="28"/>
        </w:rPr>
        <w:t>Parágrafo único.</w:t>
      </w:r>
      <w:r w:rsidRPr="008E2E4E">
        <w:rPr>
          <w:rFonts w:asciiTheme="minorHAnsi" w:hAnsiTheme="minorHAnsi" w:cs="Calibri"/>
          <w:sz w:val="28"/>
          <w:szCs w:val="28"/>
        </w:rPr>
        <w:t xml:space="preserve"> Os textos informativos de incentivo à adesão ao Imposto de Renda Solidário deverão pertencer a um gênero de natureza argumentativo-persuasiva, de clara função cognitiva em uma linguagem coloquial, dinâmica e acessível.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b/>
          <w:sz w:val="28"/>
          <w:szCs w:val="28"/>
        </w:rPr>
        <w:t>Art. 3º</w:t>
      </w:r>
      <w:r w:rsidRPr="008E2E4E">
        <w:rPr>
          <w:rFonts w:asciiTheme="minorHAnsi" w:hAnsiTheme="minorHAnsi" w:cs="Calibri"/>
          <w:sz w:val="28"/>
          <w:szCs w:val="28"/>
        </w:rPr>
        <w:t xml:space="preserve"> A periodicidade da publicidade em tela será regulamentada pelos Poderes constituídos e distinguidos nesta Lei, podendo ser variável ao longo do ano segundo o meio utilizado para a publicação.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b/>
          <w:sz w:val="28"/>
          <w:szCs w:val="28"/>
        </w:rPr>
        <w:t>Art. 4º</w:t>
      </w:r>
      <w:r w:rsidRPr="008E2E4E">
        <w:rPr>
          <w:rFonts w:asciiTheme="minorHAnsi" w:hAnsiTheme="minorHAnsi" w:cs="Calibri"/>
          <w:sz w:val="28"/>
          <w:szCs w:val="28"/>
        </w:rPr>
        <w:t xml:space="preserve"> Como forma de incentivo, também os projetos sociais beneficiados pelas doações aludidas </w:t>
      </w:r>
      <w:proofErr w:type="gramStart"/>
      <w:r w:rsidRPr="008E2E4E">
        <w:rPr>
          <w:rFonts w:asciiTheme="minorHAnsi" w:hAnsiTheme="minorHAnsi" w:cs="Calibri"/>
          <w:sz w:val="28"/>
          <w:szCs w:val="28"/>
        </w:rPr>
        <w:t>nos  §</w:t>
      </w:r>
      <w:proofErr w:type="spellStart"/>
      <w:proofErr w:type="gramEnd"/>
      <w:r w:rsidRPr="008E2E4E">
        <w:rPr>
          <w:rFonts w:asciiTheme="minorHAnsi" w:hAnsiTheme="minorHAnsi" w:cs="Calibri"/>
          <w:sz w:val="28"/>
          <w:szCs w:val="28"/>
        </w:rPr>
        <w:t>ºs</w:t>
      </w:r>
      <w:proofErr w:type="spellEnd"/>
      <w:r w:rsidRPr="008E2E4E">
        <w:rPr>
          <w:rFonts w:asciiTheme="minorHAnsi" w:hAnsiTheme="minorHAnsi" w:cs="Calibri"/>
          <w:sz w:val="28"/>
          <w:szCs w:val="28"/>
        </w:rPr>
        <w:t xml:space="preserve"> 1º e 2º do artigo 1º desta Lei, poderão ser divulgados, ficando desde já autorizada divulgação dos projetos quando de suas solicitações.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b/>
          <w:sz w:val="28"/>
          <w:szCs w:val="28"/>
        </w:rPr>
        <w:t>Art. 5º</w:t>
      </w:r>
      <w:r w:rsidRPr="008E2E4E">
        <w:rPr>
          <w:rFonts w:asciiTheme="minorHAnsi" w:hAnsiTheme="minorHAnsi" w:cs="Calibri"/>
          <w:sz w:val="28"/>
          <w:szCs w:val="28"/>
        </w:rPr>
        <w:t xml:space="preserve"> Esta Lei entra em vigor na data de sua publicação.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Nova Prata RS, 05 de novembro de 2021.</w:t>
      </w:r>
    </w:p>
    <w:p w:rsidR="008E2E4E" w:rsidRDefault="00BD6958" w:rsidP="00BD6958">
      <w:pPr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 xml:space="preserve">                                                                                                  </w:t>
      </w:r>
    </w:p>
    <w:p w:rsidR="00BD6958" w:rsidRPr="008E2E4E" w:rsidRDefault="00BD6958" w:rsidP="008E2E4E">
      <w:pPr>
        <w:jc w:val="center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 xml:space="preserve">Gilmar </w:t>
      </w:r>
      <w:proofErr w:type="spellStart"/>
      <w:r w:rsidRPr="008E2E4E">
        <w:rPr>
          <w:rFonts w:asciiTheme="minorHAnsi" w:hAnsiTheme="minorHAnsi" w:cs="Calibri"/>
          <w:sz w:val="28"/>
          <w:szCs w:val="28"/>
        </w:rPr>
        <w:t>Peruzzo</w:t>
      </w:r>
      <w:proofErr w:type="spellEnd"/>
    </w:p>
    <w:p w:rsidR="00BD6958" w:rsidRPr="008E2E4E" w:rsidRDefault="00BD6958" w:rsidP="008E2E4E">
      <w:pPr>
        <w:jc w:val="center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Vereador – MDB</w:t>
      </w:r>
    </w:p>
    <w:p w:rsidR="008E2E4E" w:rsidRDefault="008E2E4E" w:rsidP="008E2E4E">
      <w:pPr>
        <w:rPr>
          <w:rFonts w:asciiTheme="minorHAnsi" w:hAnsiTheme="minorHAnsi" w:cs="Calibri"/>
          <w:b/>
          <w:sz w:val="28"/>
          <w:szCs w:val="28"/>
        </w:rPr>
      </w:pPr>
    </w:p>
    <w:p w:rsidR="008E2E4E" w:rsidRDefault="008E2E4E" w:rsidP="008E2E4E">
      <w:pPr>
        <w:rPr>
          <w:rFonts w:asciiTheme="minorHAnsi" w:hAnsiTheme="minorHAnsi" w:cs="Calibri"/>
          <w:b/>
          <w:sz w:val="28"/>
          <w:szCs w:val="28"/>
        </w:rPr>
      </w:pPr>
    </w:p>
    <w:p w:rsidR="008E2E4E" w:rsidRDefault="008E2E4E" w:rsidP="008E2E4E">
      <w:pPr>
        <w:jc w:val="center"/>
        <w:rPr>
          <w:rFonts w:asciiTheme="minorHAnsi" w:hAnsiTheme="minorHAnsi" w:cs="Calibri"/>
          <w:b/>
          <w:sz w:val="28"/>
          <w:szCs w:val="28"/>
        </w:rPr>
      </w:pPr>
    </w:p>
    <w:p w:rsidR="008E2E4E" w:rsidRDefault="008E2E4E" w:rsidP="008E2E4E">
      <w:pPr>
        <w:jc w:val="center"/>
        <w:rPr>
          <w:rFonts w:asciiTheme="minorHAnsi" w:hAnsiTheme="minorHAnsi" w:cs="Calibri"/>
          <w:b/>
          <w:sz w:val="28"/>
          <w:szCs w:val="28"/>
        </w:rPr>
      </w:pPr>
    </w:p>
    <w:p w:rsidR="008E2E4E" w:rsidRDefault="008E2E4E" w:rsidP="008E2E4E">
      <w:pPr>
        <w:jc w:val="center"/>
        <w:rPr>
          <w:rFonts w:asciiTheme="minorHAnsi" w:hAnsiTheme="minorHAnsi" w:cs="Calibri"/>
          <w:b/>
          <w:sz w:val="28"/>
          <w:szCs w:val="28"/>
        </w:rPr>
      </w:pPr>
    </w:p>
    <w:p w:rsidR="005F62D9" w:rsidRDefault="005F62D9" w:rsidP="008E2E4E">
      <w:pPr>
        <w:jc w:val="center"/>
        <w:rPr>
          <w:rFonts w:asciiTheme="minorHAnsi" w:hAnsiTheme="minorHAnsi" w:cs="Calibri"/>
          <w:b/>
          <w:sz w:val="28"/>
          <w:szCs w:val="28"/>
        </w:rPr>
      </w:pPr>
    </w:p>
    <w:p w:rsidR="00BD6958" w:rsidRPr="008E2E4E" w:rsidRDefault="00BD6958" w:rsidP="008E2E4E">
      <w:pPr>
        <w:jc w:val="center"/>
        <w:rPr>
          <w:rFonts w:asciiTheme="minorHAnsi" w:hAnsiTheme="minorHAnsi" w:cs="Calibri"/>
          <w:sz w:val="28"/>
          <w:szCs w:val="28"/>
        </w:rPr>
      </w:pPr>
      <w:bookmarkStart w:id="0" w:name="_GoBack"/>
      <w:bookmarkEnd w:id="0"/>
      <w:r w:rsidRPr="008E2E4E">
        <w:rPr>
          <w:rFonts w:asciiTheme="minorHAnsi" w:hAnsiTheme="minorHAnsi" w:cs="Calibri"/>
          <w:b/>
          <w:sz w:val="28"/>
          <w:szCs w:val="28"/>
        </w:rPr>
        <w:lastRenderedPageBreak/>
        <w:t>JUSTIFICATIVA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O propósito desta Lei é tornar obrigatória a publicidade, nos meios disponíveis aos Poderes Executivo e Legislativo, de textos informativos de incentivo à doação para o Fundo Municipal dos Direitos da Criança e do Adolescente, no Município de Nova Prata RS, de percentual dos valores devidos por Pessoas Físicas e Jurídicas a título de Imposto de Renda.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A Lei 8.069 de 13 de julho de 1990 - Estatuto da Criança e do Adolescente, em seu artigo 260, reconhece e oferece incentivo às doações aos Fundos dos Direitos da Criança e do Adolescente nacional, distrital, estaduais ou municipais devidamente comprovadas, sendo essas integralmente deduzidas do imposto de renda, sob certos limites.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De igual forma, também sob certos critérios, a Lei Federal nº 13.797/19, autorizou que a pessoa física possa realizar doações aos fundos controlados pelos Conselhos Municipais, Estaduais e Nacional do Idoso diretamente em sua Declaração de Ajuste Anual do Imposto sobre a Renda da Pessoa Física.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Apesar de tamanha abertura à estas doações, a grande maioria dos contribuintes não têm conhecimento desta possibilidade. Segundo dados da Receita Federal, mais de 97% das pessoas que têm potencial de doação não fazem essa destinação.</w:t>
      </w:r>
    </w:p>
    <w:p w:rsid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O Imposto de Renda Solidário é uma das f</w:t>
      </w:r>
      <w:r w:rsidR="008E2E4E">
        <w:rPr>
          <w:rFonts w:asciiTheme="minorHAnsi" w:hAnsiTheme="minorHAnsi" w:cs="Calibri"/>
          <w:sz w:val="28"/>
          <w:szCs w:val="28"/>
        </w:rPr>
        <w:t>ormas que os contribuintes têm,</w:t>
      </w:r>
      <w:r w:rsidRPr="008E2E4E">
        <w:rPr>
          <w:rFonts w:asciiTheme="minorHAnsi" w:hAnsiTheme="minorHAnsi" w:cs="Calibri"/>
          <w:sz w:val="28"/>
          <w:szCs w:val="28"/>
        </w:rPr>
        <w:t xml:space="preserve"> de ajudar muitas comunidades que se beneficiam de projetos elaborados e custeados pelos fundos municipais sociais, especialmente os referenciados nesta Lei. As doações, nesse sentido, podem impactar e contribuir </w:t>
      </w:r>
      <w:r w:rsidR="008E2E4E">
        <w:rPr>
          <w:rFonts w:asciiTheme="minorHAnsi" w:hAnsiTheme="minorHAnsi" w:cs="Calibri"/>
          <w:sz w:val="28"/>
          <w:szCs w:val="28"/>
        </w:rPr>
        <w:t>diretamente com estes projetos.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As doações podem ser feitas por aqueles que optam pelo formulário de modelo completo na hora da declaração, o que permite o abatimento de itens como educação, saúde, previdência privada, entre outros. A simulação pode ser feita calculando o potencial de doação baseada na declaração do ano anterior.</w:t>
      </w:r>
    </w:p>
    <w:p w:rsidR="00BD6958" w:rsidRPr="008E2E4E" w:rsidRDefault="00BD6958" w:rsidP="008E2E4E">
      <w:pPr>
        <w:pStyle w:val="NormalWeb"/>
        <w:shd w:val="clear" w:color="auto" w:fill="F7F8F9"/>
        <w:ind w:firstLine="851"/>
        <w:jc w:val="both"/>
        <w:rPr>
          <w:rFonts w:asciiTheme="minorHAnsi" w:hAnsiTheme="minorHAnsi"/>
          <w:color w:val="000000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 xml:space="preserve">É hora de olharmos para o Imposto de Renda como uma ferramenta importante na melhoria das principais necessidades da população, e com a destinação de até 6%, o contribuinte tem a oportunidade de saber exatamente </w:t>
      </w:r>
      <w:r w:rsidRPr="008E2E4E">
        <w:rPr>
          <w:rFonts w:asciiTheme="minorHAnsi" w:hAnsiTheme="minorHAnsi" w:cs="Calibri"/>
          <w:sz w:val="28"/>
          <w:szCs w:val="28"/>
        </w:rPr>
        <w:lastRenderedPageBreak/>
        <w:t>como e onde parte do seu recurso está sendo empregado no acompanhamento dos projetos que beneficiam as comunidades.</w:t>
      </w:r>
      <w:r w:rsidRPr="008E2E4E">
        <w:rPr>
          <w:rFonts w:asciiTheme="minorHAnsi" w:hAnsiTheme="minorHAnsi"/>
          <w:color w:val="000000"/>
          <w:sz w:val="28"/>
          <w:szCs w:val="28"/>
        </w:rPr>
        <w:t xml:space="preserve"> </w:t>
      </w:r>
    </w:p>
    <w:p w:rsidR="00BD6958" w:rsidRPr="008E2E4E" w:rsidRDefault="00BD6958" w:rsidP="008E2E4E">
      <w:pPr>
        <w:pStyle w:val="NormalWeb"/>
        <w:shd w:val="clear" w:color="auto" w:fill="F7F8F9"/>
        <w:ind w:firstLine="851"/>
        <w:jc w:val="both"/>
        <w:rPr>
          <w:rFonts w:asciiTheme="minorHAnsi" w:hAnsiTheme="minorHAnsi"/>
          <w:color w:val="000000"/>
          <w:sz w:val="28"/>
          <w:szCs w:val="28"/>
        </w:rPr>
      </w:pPr>
      <w:r w:rsidRPr="008E2E4E">
        <w:rPr>
          <w:rFonts w:asciiTheme="minorHAnsi" w:hAnsiTheme="minorHAnsi"/>
          <w:color w:val="000000"/>
          <w:sz w:val="28"/>
          <w:szCs w:val="28"/>
        </w:rPr>
        <w:t>A doação não interfere em outras deduções da declaração e </w:t>
      </w:r>
      <w:hyperlink r:id="rId4" w:tgtFrame="_blank" w:history="1">
        <w:r w:rsidRPr="008E2E4E">
          <w:rPr>
            <w:rStyle w:val="Hyperlink"/>
            <w:rFonts w:asciiTheme="minorHAnsi" w:hAnsiTheme="minorHAnsi"/>
            <w:b/>
            <w:bCs/>
            <w:color w:val="000000"/>
            <w:sz w:val="28"/>
            <w:szCs w:val="28"/>
          </w:rPr>
          <w:t>não gera custos adicionais</w:t>
        </w:r>
      </w:hyperlink>
      <w:r w:rsidRPr="008E2E4E">
        <w:rPr>
          <w:rFonts w:asciiTheme="minorHAnsi" w:hAnsiTheme="minorHAnsi"/>
          <w:color w:val="000000"/>
          <w:sz w:val="28"/>
          <w:szCs w:val="28"/>
        </w:rPr>
        <w:t> para o contribuinte.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/>
          <w:color w:val="000000"/>
          <w:sz w:val="28"/>
          <w:szCs w:val="28"/>
        </w:rPr>
        <w:t>É possível doar até 6% do imposto devido ao Fundo da Criança e do Adolescente, ao Fundo da Pessoa Idosa ou uma parte para cada fundo. Em vez de pagar 100% do imposto devido, você paga 6% como doação e 94% como imposto.</w:t>
      </w:r>
    </w:p>
    <w:p w:rsidR="00BD6958" w:rsidRPr="008E2E4E" w:rsidRDefault="00BD6958" w:rsidP="008E2E4E">
      <w:pPr>
        <w:pStyle w:val="NormalWeb"/>
        <w:shd w:val="clear" w:color="auto" w:fill="F7F8F9"/>
        <w:ind w:firstLine="851"/>
        <w:jc w:val="both"/>
        <w:rPr>
          <w:rFonts w:asciiTheme="minorHAnsi" w:hAnsiTheme="minorHAnsi"/>
          <w:color w:val="000000"/>
          <w:sz w:val="28"/>
          <w:szCs w:val="28"/>
        </w:rPr>
      </w:pPr>
      <w:r w:rsidRPr="008E2E4E">
        <w:rPr>
          <w:rFonts w:asciiTheme="minorHAnsi" w:hAnsiTheme="minorHAnsi"/>
          <w:color w:val="000000"/>
          <w:sz w:val="28"/>
          <w:szCs w:val="28"/>
        </w:rPr>
        <w:t xml:space="preserve">Na doação para os fundos, sem a escolha de uma organização específica, o valor arrecadado entra em um montante e chega até as organizações por meio de editais para a submissão de projetos a serem financiados pelo fundo. É possível também doar diretamente a alguma instituição cadastrada, caso essa instituição esteja aberta para doação direcionada de pessoa física para os fundos não garante que o pagamento será feito automaticamente a todas as instituições beneficentes que estão cadastradas. Portanto, se a intenção é doar para uma ONG específica, é necessário garantir que o valor chegue a essa organização entrando em contato com a mesma por e-mail e avisando sobre a doação direcionada. Para isso, envie o comprovante do pagamento do </w:t>
      </w:r>
      <w:proofErr w:type="spellStart"/>
      <w:r w:rsidRPr="008E2E4E">
        <w:rPr>
          <w:rFonts w:asciiTheme="minorHAnsi" w:hAnsiTheme="minorHAnsi"/>
          <w:color w:val="000000"/>
          <w:sz w:val="28"/>
          <w:szCs w:val="28"/>
        </w:rPr>
        <w:t>Darf</w:t>
      </w:r>
      <w:proofErr w:type="spellEnd"/>
      <w:r w:rsidRPr="008E2E4E">
        <w:rPr>
          <w:rFonts w:asciiTheme="minorHAnsi" w:hAnsiTheme="minorHAnsi"/>
          <w:color w:val="000000"/>
          <w:sz w:val="28"/>
          <w:szCs w:val="28"/>
        </w:rPr>
        <w:t xml:space="preserve"> da doação. Além disso, será necessário preencher uma carta de solicitação do recibo.</w:t>
      </w:r>
    </w:p>
    <w:p w:rsidR="00BD6958" w:rsidRPr="008E2E4E" w:rsidRDefault="00BD6958" w:rsidP="008E2E4E">
      <w:pPr>
        <w:pStyle w:val="NormalWeb"/>
        <w:shd w:val="clear" w:color="auto" w:fill="F7F8F9"/>
        <w:ind w:firstLine="851"/>
        <w:jc w:val="both"/>
        <w:rPr>
          <w:rFonts w:asciiTheme="minorHAnsi" w:hAnsiTheme="minorHAnsi"/>
          <w:color w:val="000000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Estamos, pois, propondo que se incentive à uma ação de cidadania que pode interferir diretamente na realidade de muitas pessoas. E não é preciso dizer que desta forma, também a economia local será beneficiada.</w:t>
      </w:r>
    </w:p>
    <w:p w:rsid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Criar uma cultura solidaria, através do esclarecimento e do incentivo à prática do bem, é o que mais queremos com esta proposição. Para tanto, que esta Casa Legislativa se mobilize para fazer valer o que</w:t>
      </w:r>
      <w:r w:rsidR="008E2E4E">
        <w:rPr>
          <w:rFonts w:asciiTheme="minorHAnsi" w:hAnsiTheme="minorHAnsi" w:cs="Calibri"/>
          <w:sz w:val="28"/>
          <w:szCs w:val="28"/>
        </w:rPr>
        <w:t xml:space="preserve"> se propõe este projeto de Lei.</w:t>
      </w:r>
    </w:p>
    <w:p w:rsidR="00BD6958" w:rsidRPr="008E2E4E" w:rsidRDefault="00BD6958" w:rsidP="008E2E4E">
      <w:pPr>
        <w:spacing w:line="276" w:lineRule="auto"/>
        <w:ind w:firstLine="851"/>
        <w:jc w:val="both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>Nova Prata RS, 05 de novembro de 2021.</w:t>
      </w:r>
    </w:p>
    <w:p w:rsidR="00BD6958" w:rsidRPr="008E2E4E" w:rsidRDefault="00BD6958" w:rsidP="008E2E4E">
      <w:pPr>
        <w:spacing w:line="360" w:lineRule="auto"/>
        <w:ind w:firstLine="851"/>
        <w:rPr>
          <w:rFonts w:asciiTheme="minorHAnsi" w:hAnsiTheme="minorHAnsi" w:cs="Calibri"/>
          <w:sz w:val="28"/>
          <w:szCs w:val="28"/>
        </w:rPr>
      </w:pPr>
    </w:p>
    <w:p w:rsidR="00BD6958" w:rsidRPr="008E2E4E" w:rsidRDefault="00BD6958" w:rsidP="008E2E4E">
      <w:pPr>
        <w:ind w:firstLine="851"/>
        <w:jc w:val="center"/>
        <w:rPr>
          <w:rFonts w:asciiTheme="minorHAnsi" w:hAnsiTheme="minorHAnsi" w:cs="Calibri"/>
          <w:sz w:val="28"/>
          <w:szCs w:val="28"/>
        </w:rPr>
      </w:pPr>
      <w:r w:rsidRPr="008E2E4E">
        <w:rPr>
          <w:rFonts w:asciiTheme="minorHAnsi" w:hAnsiTheme="minorHAnsi" w:cs="Calibri"/>
          <w:sz w:val="28"/>
          <w:szCs w:val="28"/>
        </w:rPr>
        <w:t xml:space="preserve">Gilmar </w:t>
      </w:r>
      <w:proofErr w:type="spellStart"/>
      <w:r w:rsidRPr="008E2E4E">
        <w:rPr>
          <w:rFonts w:asciiTheme="minorHAnsi" w:hAnsiTheme="minorHAnsi" w:cs="Calibri"/>
          <w:sz w:val="28"/>
          <w:szCs w:val="28"/>
        </w:rPr>
        <w:t>Peruzzo</w:t>
      </w:r>
      <w:proofErr w:type="spellEnd"/>
    </w:p>
    <w:p w:rsidR="004E3351" w:rsidRPr="008E2E4E" w:rsidRDefault="008E2E4E" w:rsidP="008E2E4E">
      <w:pPr>
        <w:ind w:firstLine="851"/>
        <w:jc w:val="center"/>
        <w:rPr>
          <w:rFonts w:asciiTheme="minorHAnsi" w:hAnsiTheme="minorHAnsi" w:cs="Calibri"/>
          <w:sz w:val="28"/>
          <w:szCs w:val="28"/>
        </w:rPr>
      </w:pPr>
      <w:r>
        <w:rPr>
          <w:rFonts w:asciiTheme="minorHAnsi" w:hAnsiTheme="minorHAnsi" w:cs="Calibri"/>
          <w:sz w:val="28"/>
          <w:szCs w:val="28"/>
        </w:rPr>
        <w:t>Vereador - MDB</w:t>
      </w:r>
    </w:p>
    <w:sectPr w:rsidR="004E3351" w:rsidRPr="008E2E4E" w:rsidSect="008E2E4E">
      <w:pgSz w:w="11906" w:h="16838" w:code="9"/>
      <w:pgMar w:top="2836" w:right="1133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F02"/>
    <w:rsid w:val="004E3351"/>
    <w:rsid w:val="005A739F"/>
    <w:rsid w:val="005E1131"/>
    <w:rsid w:val="005F4305"/>
    <w:rsid w:val="005F62D9"/>
    <w:rsid w:val="006D5F02"/>
    <w:rsid w:val="007F72AF"/>
    <w:rsid w:val="008E2E4E"/>
    <w:rsid w:val="00980B4D"/>
    <w:rsid w:val="00A5451B"/>
    <w:rsid w:val="00BD6958"/>
    <w:rsid w:val="00E5645C"/>
    <w:rsid w:val="00EF3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31C81D"/>
  <w15:chartTrackingRefBased/>
  <w15:docId w15:val="{91BA060B-C702-4A84-BA2B-02D50418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D6958"/>
    <w:rPr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BD695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D6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BD6958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pt-BR"/>
    </w:rPr>
  </w:style>
  <w:style w:type="character" w:customStyle="1" w:styleId="TextosemFormataoChar">
    <w:name w:val="Texto sem Formatação Char"/>
    <w:link w:val="TextosemFormatao"/>
    <w:uiPriority w:val="99"/>
    <w:semiHidden/>
    <w:rsid w:val="00BD6958"/>
    <w:rPr>
      <w:rFonts w:ascii="Courier New" w:eastAsia="Times New Roman" w:hAnsi="Courier New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7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genciabrasil.ebc.com.br/economia/noticia/2020-04/saiba-como-doar-parte-do-imposto-de-renda-projetos-sociai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1108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Links>
    <vt:vector size="6" baseType="variant">
      <vt:variant>
        <vt:i4>1703953</vt:i4>
      </vt:variant>
      <vt:variant>
        <vt:i4>0</vt:i4>
      </vt:variant>
      <vt:variant>
        <vt:i4>0</vt:i4>
      </vt:variant>
      <vt:variant>
        <vt:i4>5</vt:i4>
      </vt:variant>
      <vt:variant>
        <vt:lpwstr>https://agenciabrasil.ebc.com.br/economia/noticia/2020-04/saiba-como-doar-parte-do-imposto-de-renda-projetos-sociais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5</cp:revision>
  <dcterms:created xsi:type="dcterms:W3CDTF">2021-11-08T13:38:00Z</dcterms:created>
  <dcterms:modified xsi:type="dcterms:W3CDTF">2021-11-08T13:39:00Z</dcterms:modified>
</cp:coreProperties>
</file>