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0984D032" w:rsidR="000662EA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</w:t>
      </w:r>
      <w:r w:rsidR="003945F5">
        <w:rPr>
          <w:rFonts w:ascii="Cambria" w:hAnsi="Cambria" w:cstheme="minorHAnsi"/>
          <w:b/>
          <w:bCs/>
          <w:sz w:val="23"/>
          <w:szCs w:val="23"/>
          <w:u w:val="single"/>
        </w:rPr>
        <w:t>14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/202</w:t>
      </w:r>
      <w:r w:rsidR="00D8612B" w:rsidRPr="008C34D3">
        <w:rPr>
          <w:rFonts w:ascii="Cambria" w:hAnsi="Cambria" w:cstheme="minorHAnsi"/>
          <w:b/>
          <w:bCs/>
          <w:sz w:val="23"/>
          <w:szCs w:val="23"/>
          <w:u w:val="single"/>
        </w:rPr>
        <w:t>6</w:t>
      </w:r>
    </w:p>
    <w:p w14:paraId="26A61A0D" w14:textId="77777777" w:rsidR="00C055ED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6FD83A63" w14:textId="77777777" w:rsidR="003945F5" w:rsidRDefault="003945F5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3945F5">
        <w:rPr>
          <w:rFonts w:ascii="Cambria" w:hAnsi="Cambria" w:cstheme="minorHAnsi"/>
          <w:b/>
          <w:bCs/>
          <w:sz w:val="23"/>
          <w:szCs w:val="23"/>
        </w:rPr>
        <w:t>Projeto de Resolução nº 002/2026</w:t>
      </w:r>
    </w:p>
    <w:p w14:paraId="4573C0EE" w14:textId="7A4979F2" w:rsidR="002F53D0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="008C34D3" w:rsidRPr="008C34D3">
        <w:rPr>
          <w:rFonts w:ascii="Cambria" w:hAnsi="Cambria" w:cstheme="minorHAnsi"/>
          <w:sz w:val="23"/>
          <w:szCs w:val="23"/>
        </w:rPr>
        <w:t>Mesa Diretora</w:t>
      </w:r>
    </w:p>
    <w:p w14:paraId="47A0163E" w14:textId="49247FF3" w:rsidR="00AC61C5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Ementa</w:t>
      </w:r>
      <w:r w:rsidR="00D8612B" w:rsidRPr="008C34D3">
        <w:rPr>
          <w:rFonts w:ascii="Cambria" w:hAnsi="Cambria" w:cstheme="minorHAnsi"/>
          <w:b/>
          <w:bCs/>
          <w:sz w:val="23"/>
          <w:szCs w:val="23"/>
        </w:rPr>
        <w:t>:</w:t>
      </w:r>
      <w:r w:rsidR="004E37C2" w:rsidRPr="008C34D3">
        <w:rPr>
          <w:sz w:val="23"/>
          <w:szCs w:val="23"/>
        </w:rPr>
        <w:t xml:space="preserve"> </w:t>
      </w:r>
      <w:r w:rsidR="003945F5" w:rsidRPr="003945F5">
        <w:rPr>
          <w:rFonts w:ascii="Cambria" w:hAnsi="Cambria" w:cstheme="minorHAnsi"/>
          <w:sz w:val="23"/>
          <w:szCs w:val="23"/>
        </w:rPr>
        <w:t>Aprova o Regimento Interno da Procuradoria Especial da Mulher no âmbito da Câmara Municipal de Carnaúba dos Dantas/RN, em cumprimento à Resolução nº 5, de 12 de dezembro de 2024, com alterações dadas pela Resolução nº 4, de 14 de agosto de 2025.</w:t>
      </w:r>
    </w:p>
    <w:p w14:paraId="2FD3E014" w14:textId="77777777" w:rsidR="004E37C2" w:rsidRPr="008C34D3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47C154B8" w14:textId="1D2CA22E" w:rsidR="008C34D3" w:rsidRPr="008C34D3" w:rsidRDefault="003945F5" w:rsidP="008C34D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 xml:space="preserve">O Projeto de Resolução nº </w:t>
      </w:r>
      <w:r w:rsidRPr="003945F5">
        <w:rPr>
          <w:rFonts w:ascii="Cambria" w:hAnsi="Cambria" w:cstheme="minorHAnsi"/>
          <w:b/>
          <w:bCs/>
          <w:sz w:val="23"/>
          <w:szCs w:val="23"/>
        </w:rPr>
        <w:t>002/2026</w:t>
      </w:r>
      <w:r w:rsidRPr="003945F5">
        <w:rPr>
          <w:rFonts w:ascii="Cambria" w:hAnsi="Cambria" w:cstheme="minorHAnsi"/>
          <w:sz w:val="23"/>
          <w:szCs w:val="23"/>
        </w:rPr>
        <w:t>, de autoria da Mesa Diretora, foi apresentado a esta Casa Legislativa com a finalidade de aprovar o Regimento Interno da Procuradoria Especial da Mulher no âmbito da Câmara Municipal de Carnaúba dos Dantas/RN.</w:t>
      </w:r>
    </w:p>
    <w:p w14:paraId="5EDC00CA" w14:textId="7834E4B5" w:rsidR="008C34D3" w:rsidRPr="008C34D3" w:rsidRDefault="003945F5" w:rsidP="008C34D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 xml:space="preserve">A proposição visa regulamentar a organização administrativa, o funcionamento, os procedimentos internos, os fluxos institucionais e os instrumentos de atuação da Procuradoria Especial da Mulher, órgão criado pela Resolução nº </w:t>
      </w:r>
      <w:r w:rsidRPr="003945F5">
        <w:rPr>
          <w:rFonts w:ascii="Cambria" w:hAnsi="Cambria" w:cstheme="minorHAnsi"/>
          <w:b/>
          <w:bCs/>
          <w:sz w:val="23"/>
          <w:szCs w:val="23"/>
        </w:rPr>
        <w:t>5/2024</w:t>
      </w:r>
      <w:r w:rsidRPr="003945F5">
        <w:rPr>
          <w:rFonts w:ascii="Cambria" w:hAnsi="Cambria" w:cstheme="minorHAnsi"/>
          <w:sz w:val="23"/>
          <w:szCs w:val="23"/>
        </w:rPr>
        <w:t xml:space="preserve">, com alterações promovidas pela Resolução nº </w:t>
      </w:r>
      <w:r w:rsidRPr="003945F5">
        <w:rPr>
          <w:rFonts w:ascii="Cambria" w:hAnsi="Cambria" w:cstheme="minorHAnsi"/>
          <w:b/>
          <w:bCs/>
          <w:sz w:val="23"/>
          <w:szCs w:val="23"/>
        </w:rPr>
        <w:t>4/2025</w:t>
      </w:r>
      <w:r w:rsidRPr="003945F5">
        <w:rPr>
          <w:rFonts w:ascii="Cambria" w:hAnsi="Cambria" w:cstheme="minorHAnsi"/>
          <w:sz w:val="23"/>
          <w:szCs w:val="23"/>
        </w:rPr>
        <w:t>.</w:t>
      </w:r>
    </w:p>
    <w:p w14:paraId="6B3FB0C3" w14:textId="77777777" w:rsidR="00D0257B" w:rsidRPr="008C34D3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bCs/>
          <w:sz w:val="23"/>
          <w:szCs w:val="23"/>
        </w:rPr>
        <w:t>art. 22 do Regimento Interno da Câmara Municipal de Carnaúba dos Dantas/RN</w:t>
      </w:r>
      <w:r w:rsidRPr="008C34D3">
        <w:rPr>
          <w:rFonts w:ascii="Cambria" w:hAnsi="Cambria" w:cstheme="minorHAnsi"/>
          <w:sz w:val="23"/>
          <w:szCs w:val="23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8C34D3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5685DA7A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lastRenderedPageBreak/>
        <w:t xml:space="preserve">O Projeto de Resolução nº </w:t>
      </w:r>
      <w:r w:rsidRPr="003945F5">
        <w:rPr>
          <w:rFonts w:ascii="Cambria" w:hAnsi="Cambria" w:cstheme="minorHAnsi"/>
          <w:b/>
          <w:bCs/>
          <w:sz w:val="23"/>
          <w:szCs w:val="23"/>
        </w:rPr>
        <w:t>002/2026</w:t>
      </w:r>
      <w:r w:rsidRPr="003945F5">
        <w:rPr>
          <w:rFonts w:ascii="Cambria" w:hAnsi="Cambria" w:cstheme="minorHAnsi"/>
          <w:sz w:val="23"/>
          <w:szCs w:val="23"/>
        </w:rPr>
        <w:t xml:space="preserve"> versa sobre matéria de natureza interna </w:t>
      </w:r>
      <w:proofErr w:type="spellStart"/>
      <w:r w:rsidRPr="003945F5">
        <w:rPr>
          <w:rFonts w:ascii="Cambria" w:hAnsi="Cambria" w:cstheme="minorHAnsi"/>
          <w:sz w:val="23"/>
          <w:szCs w:val="23"/>
        </w:rPr>
        <w:t>corporis</w:t>
      </w:r>
      <w:proofErr w:type="spellEnd"/>
      <w:r w:rsidRPr="003945F5">
        <w:rPr>
          <w:rFonts w:ascii="Cambria" w:hAnsi="Cambria" w:cstheme="minorHAnsi"/>
          <w:sz w:val="23"/>
          <w:szCs w:val="23"/>
        </w:rPr>
        <w:t>, consistente na organização e regulamentação de órgão institucional no âmbito do Poder Legislativo Municipal.</w:t>
      </w:r>
    </w:p>
    <w:p w14:paraId="681B5F8C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 xml:space="preserve">A competência para dispor sobre a matéria encontra respaldo no princípio da autonomia do Poder Legislativo, decorrente do </w:t>
      </w:r>
      <w:r w:rsidRPr="003945F5">
        <w:rPr>
          <w:rFonts w:ascii="Cambria" w:hAnsi="Cambria" w:cstheme="minorHAnsi"/>
          <w:b/>
          <w:bCs/>
          <w:sz w:val="23"/>
          <w:szCs w:val="23"/>
        </w:rPr>
        <w:t>art. 2º da Constituição Federal</w:t>
      </w:r>
      <w:r w:rsidRPr="003945F5">
        <w:rPr>
          <w:rFonts w:ascii="Cambria" w:hAnsi="Cambria" w:cstheme="minorHAnsi"/>
          <w:sz w:val="23"/>
          <w:szCs w:val="23"/>
        </w:rPr>
        <w:t xml:space="preserve">, bem como no </w:t>
      </w:r>
      <w:r w:rsidRPr="003945F5">
        <w:rPr>
          <w:rFonts w:ascii="Cambria" w:hAnsi="Cambria" w:cstheme="minorHAnsi"/>
          <w:b/>
          <w:bCs/>
          <w:sz w:val="23"/>
          <w:szCs w:val="23"/>
        </w:rPr>
        <w:t>art. 30, inciso I, da Constituição Federal</w:t>
      </w:r>
      <w:r w:rsidRPr="003945F5">
        <w:rPr>
          <w:rFonts w:ascii="Cambria" w:hAnsi="Cambria" w:cstheme="minorHAnsi"/>
          <w:sz w:val="23"/>
          <w:szCs w:val="23"/>
        </w:rPr>
        <w:t>, que assegura ao Município competência para legislar sobre assuntos de interesse local.</w:t>
      </w:r>
    </w:p>
    <w:p w14:paraId="7D2D66E8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>No âmbito municipal, a matéria encontra fundamento na Lei Orgânica e no Regimento Interno da Câmara, que atribuem à Casa Legislativa competência para disciplinar sua organização administrativa, seus órgãos internos e seus mecanismos institucionais de atuação.</w:t>
      </w:r>
    </w:p>
    <w:p w14:paraId="51D1C572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 xml:space="preserve">A presente proposição não apenas regulamenta estrutura interna, como também concretiza diretrizes já estabelecidas na Resolução nº </w:t>
      </w:r>
      <w:r w:rsidRPr="003945F5">
        <w:rPr>
          <w:rFonts w:ascii="Cambria" w:hAnsi="Cambria" w:cstheme="minorHAnsi"/>
          <w:b/>
          <w:bCs/>
          <w:sz w:val="23"/>
          <w:szCs w:val="23"/>
        </w:rPr>
        <w:t>5/2024</w:t>
      </w:r>
      <w:r w:rsidRPr="003945F5">
        <w:rPr>
          <w:rFonts w:ascii="Cambria" w:hAnsi="Cambria" w:cstheme="minorHAnsi"/>
          <w:sz w:val="23"/>
          <w:szCs w:val="23"/>
        </w:rPr>
        <w:t xml:space="preserve">, alterada pela Resolução nº </w:t>
      </w:r>
      <w:r w:rsidRPr="003945F5">
        <w:rPr>
          <w:rFonts w:ascii="Cambria" w:hAnsi="Cambria" w:cstheme="minorHAnsi"/>
          <w:b/>
          <w:bCs/>
          <w:sz w:val="23"/>
          <w:szCs w:val="23"/>
        </w:rPr>
        <w:t>4/2025</w:t>
      </w:r>
      <w:r w:rsidRPr="003945F5">
        <w:rPr>
          <w:rFonts w:ascii="Cambria" w:hAnsi="Cambria" w:cstheme="minorHAnsi"/>
          <w:sz w:val="23"/>
          <w:szCs w:val="23"/>
        </w:rPr>
        <w:t>, promovendo a adequada sistematização das competências, procedimentos e fluxos institucionais da Procuradoria Especial da Mulher.</w:t>
      </w:r>
    </w:p>
    <w:p w14:paraId="7790874B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 xml:space="preserve">Destaca-se que a criação e regulamentação de órgão voltado à promoção dos direitos das mulheres encontra amparo nos princípios constitucionais da dignidade da pessoa humana e da igualdade, bem como nas diretrizes do </w:t>
      </w:r>
      <w:r w:rsidRPr="003945F5">
        <w:rPr>
          <w:rFonts w:ascii="Cambria" w:hAnsi="Cambria" w:cstheme="minorHAnsi"/>
          <w:b/>
          <w:bCs/>
          <w:sz w:val="23"/>
          <w:szCs w:val="23"/>
        </w:rPr>
        <w:t>art. 226, §8º, da Constituição Federal</w:t>
      </w:r>
      <w:r w:rsidRPr="003945F5">
        <w:rPr>
          <w:rFonts w:ascii="Cambria" w:hAnsi="Cambria" w:cstheme="minorHAnsi"/>
          <w:sz w:val="23"/>
          <w:szCs w:val="23"/>
        </w:rPr>
        <w:t>, que impõe ao Estado o dever de coibir a violência no âmbito das relações familiares.</w:t>
      </w:r>
    </w:p>
    <w:p w14:paraId="7EA34320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>No tocante à iniciativa, verifica-se sua legitimidade, por se tratar de matéria afeta à organização interna do Poder Legislativo, sendo de competência da Mesa Diretora propor normas dessa natureza.</w:t>
      </w:r>
    </w:p>
    <w:p w14:paraId="58531EA1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lastRenderedPageBreak/>
        <w:t xml:space="preserve">Sob o aspecto formal, o projeto observa as normas de técnica legislativa previstas na </w:t>
      </w:r>
      <w:r w:rsidRPr="003945F5">
        <w:rPr>
          <w:rFonts w:ascii="Cambria" w:hAnsi="Cambria" w:cstheme="minorHAnsi"/>
          <w:b/>
          <w:bCs/>
          <w:sz w:val="23"/>
          <w:szCs w:val="23"/>
        </w:rPr>
        <w:t>Lei Complementar nº 95/1998</w:t>
      </w:r>
      <w:r w:rsidRPr="003945F5">
        <w:rPr>
          <w:rFonts w:ascii="Cambria" w:hAnsi="Cambria" w:cstheme="minorHAnsi"/>
          <w:sz w:val="23"/>
          <w:szCs w:val="23"/>
        </w:rPr>
        <w:t>, apresentando estrutura adequada, clareza e organização normativa.</w:t>
      </w:r>
    </w:p>
    <w:p w14:paraId="07CAF802" w14:textId="77777777" w:rsidR="003945F5" w:rsidRPr="003945F5" w:rsidRDefault="003945F5" w:rsidP="003945F5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 xml:space="preserve">Dessa forma, não se verifica qualquer vício de inconstitucionalidade formal ou material, encontrando-se o Projeto de Resolução nº </w:t>
      </w:r>
      <w:r w:rsidRPr="003945F5">
        <w:rPr>
          <w:rFonts w:ascii="Cambria" w:hAnsi="Cambria" w:cstheme="minorHAnsi"/>
          <w:b/>
          <w:bCs/>
          <w:sz w:val="23"/>
          <w:szCs w:val="23"/>
        </w:rPr>
        <w:t>002/2026</w:t>
      </w:r>
      <w:r w:rsidRPr="003945F5">
        <w:rPr>
          <w:rFonts w:ascii="Cambria" w:hAnsi="Cambria" w:cstheme="minorHAnsi"/>
          <w:sz w:val="23"/>
          <w:szCs w:val="23"/>
        </w:rPr>
        <w:t xml:space="preserve"> apto à regular tramitação e deliberação pelo Plenário desta Casa Legislativa.</w:t>
      </w:r>
    </w:p>
    <w:p w14:paraId="55077D2A" w14:textId="77777777" w:rsidR="00D8612B" w:rsidRPr="008C34D3" w:rsidRDefault="00D8612B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603533A2" w14:textId="4F2EE4AC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4619FF7B" w14:textId="77777777" w:rsidR="003945F5" w:rsidRPr="003945F5" w:rsidRDefault="003945F5" w:rsidP="003945F5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>No mérito, a proposição revela-se adequada e necessária, uma vez que promove a regulamentação do funcionamento da Procuradoria Especial da Mulher, assegurando maior eficiência administrativa, padronização de procedimentos e segurança jurídica na atuação do órgão.</w:t>
      </w:r>
    </w:p>
    <w:p w14:paraId="6E6AE839" w14:textId="77777777" w:rsidR="003945F5" w:rsidRPr="003945F5" w:rsidRDefault="003945F5" w:rsidP="003945F5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>A matéria contribui para o fortalecimento institucional da Procuradoria, garantindo melhores condições para o desenvolvimento de suas atividades, especialmente no que se refere ao acolhimento, orientação e encaminhamento de demandas relacionadas à proteção dos direitos das mulheres.</w:t>
      </w:r>
    </w:p>
    <w:p w14:paraId="165BCB0B" w14:textId="77777777" w:rsidR="003945F5" w:rsidRPr="003945F5" w:rsidRDefault="003945F5" w:rsidP="003945F5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3945F5">
        <w:rPr>
          <w:rFonts w:ascii="Cambria" w:hAnsi="Cambria" w:cstheme="minorHAnsi"/>
          <w:sz w:val="23"/>
          <w:szCs w:val="23"/>
        </w:rPr>
        <w:t>Além disso, a regulamentação proposta fortalece a atuação do Poder Legislativo Municipal na promoção da igualdade de gênero e no enfrentamento à violência contra a mulher, atendendo ao interesse público e às demandas sociais contemporâneas.</w:t>
      </w:r>
    </w:p>
    <w:p w14:paraId="06DBE397" w14:textId="77777777" w:rsidR="00D0257B" w:rsidRPr="008C34D3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F82D173" w14:textId="34463DE5" w:rsidR="006F0098" w:rsidRPr="008C34D3" w:rsidRDefault="00847207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DA</w:t>
      </w:r>
      <w:r w:rsidR="00170B83" w:rsidRPr="008C34D3">
        <w:rPr>
          <w:rFonts w:ascii="Cambria" w:hAnsi="Cambria" w:cstheme="minorHAnsi"/>
          <w:b/>
          <w:bCs/>
          <w:sz w:val="23"/>
          <w:szCs w:val="23"/>
          <w:u w:val="single"/>
        </w:rPr>
        <w:t>S COMISSÕES PERMANENTES</w:t>
      </w:r>
    </w:p>
    <w:p w14:paraId="54BC3BD7" w14:textId="545098FF" w:rsidR="003945F5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A Comissão de Constituição, Justiça e Redação Final, composta pelos Vereadores(as) Bárbara de Medeiros Dantas (Presidente), José Gilvan Dantas (Relator) e Maria das Vitórias </w:t>
      </w:r>
      <w:r w:rsidRPr="008C34D3">
        <w:rPr>
          <w:rFonts w:ascii="Cambria" w:hAnsi="Cambria" w:cstheme="minorHAnsi"/>
          <w:sz w:val="23"/>
          <w:szCs w:val="23"/>
        </w:rPr>
        <w:lastRenderedPageBreak/>
        <w:t xml:space="preserve">Bezerra Dantas (Secretária), </w:t>
      </w:r>
      <w:r w:rsidR="003945F5" w:rsidRPr="003945F5">
        <w:rPr>
          <w:rFonts w:ascii="Cambria" w:hAnsi="Cambria" w:cstheme="minorHAnsi"/>
          <w:sz w:val="23"/>
          <w:szCs w:val="23"/>
        </w:rPr>
        <w:t xml:space="preserve">analisou o Projeto de Resolução nº </w:t>
      </w:r>
      <w:r w:rsidR="003945F5" w:rsidRPr="003945F5">
        <w:rPr>
          <w:rFonts w:ascii="Cambria" w:hAnsi="Cambria" w:cstheme="minorHAnsi"/>
          <w:b/>
          <w:bCs/>
          <w:sz w:val="23"/>
          <w:szCs w:val="23"/>
        </w:rPr>
        <w:t>002/2026</w:t>
      </w:r>
      <w:r w:rsidR="003945F5" w:rsidRPr="003945F5">
        <w:rPr>
          <w:rFonts w:ascii="Cambria" w:hAnsi="Cambria" w:cstheme="minorHAnsi"/>
          <w:sz w:val="23"/>
          <w:szCs w:val="23"/>
        </w:rPr>
        <w:t>, de autoria da Mesa Diretora.</w:t>
      </w:r>
    </w:p>
    <w:p w14:paraId="350A1AFD" w14:textId="2D1BA90C" w:rsidR="00BE310E" w:rsidRPr="008C34D3" w:rsidRDefault="008C34D3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A análise foi realizada sob os aspectos da constitucionalidade, legalidade e técnica legislativa da matéria. Diante disso, o Relator da Comissão emite parecer favorável à tramitação e aprovação d</w:t>
      </w:r>
      <w:r w:rsidR="003945F5">
        <w:rPr>
          <w:rFonts w:ascii="Cambria" w:hAnsi="Cambria" w:cstheme="minorHAnsi"/>
          <w:sz w:val="23"/>
          <w:szCs w:val="23"/>
        </w:rPr>
        <w:t>o referido projeto.</w:t>
      </w:r>
    </w:p>
    <w:p w14:paraId="7EC380BA" w14:textId="77777777" w:rsidR="00107BD9" w:rsidRPr="008C34D3" w:rsidRDefault="00107BD9" w:rsidP="002F53D0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1B4BDEC2" w14:textId="77777777" w:rsidR="00D90301" w:rsidRPr="00D90301" w:rsidRDefault="00D90301" w:rsidP="00D90301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D90301">
        <w:rPr>
          <w:rFonts w:ascii="Cambria" w:hAnsi="Cambria" w:cstheme="minorHAnsi"/>
          <w:sz w:val="23"/>
          <w:szCs w:val="23"/>
        </w:rPr>
        <w:t>Sala das Comissões, 31 de março de 2026.</w:t>
      </w:r>
    </w:p>
    <w:p w14:paraId="68D7ACC2" w14:textId="77777777" w:rsidR="00107BD9" w:rsidRPr="008C34D3" w:rsidRDefault="00107BD9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1804952D" w14:textId="1530B847" w:rsidR="000662EA" w:rsidRPr="008C34D3" w:rsidRDefault="000662EA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</w:t>
      </w:r>
      <w:r w:rsidR="00073118" w:rsidRPr="008C34D3">
        <w:rPr>
          <w:rFonts w:ascii="Cambria" w:hAnsi="Cambria" w:cstheme="minorHAnsi"/>
          <w:sz w:val="23"/>
          <w:szCs w:val="23"/>
        </w:rPr>
        <w:t>___</w:t>
      </w:r>
    </w:p>
    <w:p w14:paraId="5ED147C6" w14:textId="7B37EF9E" w:rsidR="000E4977" w:rsidRPr="008C34D3" w:rsidRDefault="00C45158" w:rsidP="00107BD9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73C11013" w14:textId="2BF0755D" w:rsidR="00DB249A" w:rsidRPr="008C34D3" w:rsidRDefault="000E4977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Relator da Comissão de</w:t>
      </w:r>
    </w:p>
    <w:p w14:paraId="619A313D" w14:textId="54BAD02C" w:rsidR="000662EA" w:rsidRPr="008C34D3" w:rsidRDefault="000E4977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</w:t>
      </w:r>
      <w:r w:rsidR="00C45158" w:rsidRPr="008C34D3">
        <w:rPr>
          <w:rFonts w:ascii="Cambria" w:hAnsi="Cambria" w:cstheme="minorHAnsi"/>
          <w:sz w:val="23"/>
          <w:szCs w:val="23"/>
        </w:rPr>
        <w:t>, Justiça e Redação Fina</w:t>
      </w:r>
      <w:r w:rsidR="00FD37DC" w:rsidRPr="008C34D3">
        <w:rPr>
          <w:rFonts w:ascii="Cambria" w:hAnsi="Cambria" w:cstheme="minorHAnsi"/>
          <w:sz w:val="23"/>
          <w:szCs w:val="23"/>
        </w:rPr>
        <w:t>l</w:t>
      </w:r>
    </w:p>
    <w:p w14:paraId="24131033" w14:textId="77777777" w:rsidR="005353CC" w:rsidRPr="008C34D3" w:rsidRDefault="005353CC" w:rsidP="00107BD9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426A039E" w14:textId="77777777" w:rsidR="003B7C64" w:rsidRPr="008C34D3" w:rsidRDefault="003B7C64" w:rsidP="0064570D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E1B19AC" w14:textId="60DBA06E" w:rsidR="00DB249A" w:rsidRPr="008C34D3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APROVAÇÃO DOS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DEMAIS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MEMBROS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</w:p>
    <w:p w14:paraId="735FDFD4" w14:textId="77777777" w:rsidR="000662EA" w:rsidRPr="008C34D3" w:rsidRDefault="000662EA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19615AA" w14:textId="554ED48C" w:rsidR="00BE310E" w:rsidRPr="008C34D3" w:rsidRDefault="008C34D3" w:rsidP="008C34D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Em consonância com as normas vigentes, manifestam-se as Comissões Permanentes, por maioria dos votos, </w:t>
      </w:r>
      <w:r w:rsidRPr="008C34D3">
        <w:rPr>
          <w:rFonts w:ascii="Cambria" w:hAnsi="Cambria" w:cstheme="minorHAnsi"/>
          <w:b/>
          <w:bCs/>
          <w:sz w:val="23"/>
          <w:szCs w:val="23"/>
        </w:rPr>
        <w:t>PELA APROVAÇÃO</w:t>
      </w:r>
      <w:r w:rsidRPr="008C34D3">
        <w:rPr>
          <w:rFonts w:ascii="Cambria" w:hAnsi="Cambria" w:cstheme="minorHAnsi"/>
          <w:sz w:val="23"/>
          <w:szCs w:val="23"/>
        </w:rPr>
        <w:t xml:space="preserve"> </w:t>
      </w:r>
      <w:r w:rsidR="003945F5" w:rsidRPr="003945F5">
        <w:rPr>
          <w:rFonts w:ascii="Cambria" w:hAnsi="Cambria" w:cstheme="minorHAnsi"/>
          <w:sz w:val="23"/>
          <w:szCs w:val="23"/>
        </w:rPr>
        <w:t xml:space="preserve">do Projeto de Resolução nº </w:t>
      </w:r>
      <w:r w:rsidR="003945F5" w:rsidRPr="003945F5">
        <w:rPr>
          <w:rFonts w:ascii="Cambria" w:hAnsi="Cambria" w:cstheme="minorHAnsi"/>
          <w:b/>
          <w:bCs/>
          <w:sz w:val="23"/>
          <w:szCs w:val="23"/>
        </w:rPr>
        <w:t>002/2026</w:t>
      </w:r>
      <w:r w:rsidR="003945F5" w:rsidRPr="003945F5">
        <w:rPr>
          <w:rFonts w:ascii="Cambria" w:hAnsi="Cambria" w:cstheme="minorHAnsi"/>
          <w:sz w:val="23"/>
          <w:szCs w:val="23"/>
        </w:rPr>
        <w:t>, acompanhando integralmente o parecer do Relator.</w:t>
      </w:r>
    </w:p>
    <w:p w14:paraId="60D4F9B1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</w:p>
    <w:p w14:paraId="7EE6C1AC" w14:textId="77777777" w:rsidR="00D90301" w:rsidRPr="00D90301" w:rsidRDefault="00D90301" w:rsidP="00D90301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D90301">
        <w:rPr>
          <w:rFonts w:ascii="Cambria" w:hAnsi="Cambria" w:cstheme="minorHAnsi"/>
          <w:sz w:val="23"/>
          <w:szCs w:val="23"/>
        </w:rPr>
        <w:t>Sala das Comissões, 31 de março de 2026.</w:t>
      </w:r>
    </w:p>
    <w:p w14:paraId="645CDFE7" w14:textId="77777777" w:rsidR="00BE310E" w:rsidRPr="008C34D3" w:rsidRDefault="00BE310E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80BF8AA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5C95CE11" w14:textId="330F2DA5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_______________________________________________</w:t>
      </w:r>
    </w:p>
    <w:p w14:paraId="7A0F53D7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5F742828" w14:textId="2AFF0773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Presidente da Comissão de </w:t>
      </w:r>
    </w:p>
    <w:p w14:paraId="0635714F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6B9A73DA" w14:textId="77777777" w:rsidR="0064570D" w:rsidRPr="008C34D3" w:rsidRDefault="0064570D" w:rsidP="0064570D">
      <w:pPr>
        <w:rPr>
          <w:rFonts w:ascii="Cambria" w:hAnsi="Cambria" w:cstheme="minorHAnsi"/>
          <w:sz w:val="23"/>
          <w:szCs w:val="23"/>
        </w:rPr>
      </w:pPr>
    </w:p>
    <w:p w14:paraId="0ED6AC1F" w14:textId="77777777" w:rsidR="0064570D" w:rsidRPr="008C34D3" w:rsidRDefault="0064570D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9FDF075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4AC550C" w14:textId="083F1B6E" w:rsidR="00654CA7" w:rsidRPr="008C34D3" w:rsidRDefault="00FD6CE1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</w:t>
      </w:r>
      <w:r w:rsidR="00654CA7" w:rsidRPr="008C34D3">
        <w:rPr>
          <w:rFonts w:ascii="Cambria" w:hAnsi="Cambria" w:cstheme="minorHAnsi"/>
          <w:sz w:val="23"/>
          <w:szCs w:val="23"/>
        </w:rPr>
        <w:t>_____________________________</w:t>
      </w:r>
    </w:p>
    <w:p w14:paraId="08E16A5C" w14:textId="77777777" w:rsidR="00073118" w:rsidRPr="008C34D3" w:rsidRDefault="00FD6CE1" w:rsidP="00073118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="00170B83" w:rsidRPr="008C34D3">
        <w:rPr>
          <w:rFonts w:ascii="Cambria" w:hAnsi="Cambria" w:cstheme="minorHAnsi"/>
          <w:sz w:val="23"/>
          <w:szCs w:val="23"/>
        </w:rPr>
        <w:br/>
        <w:t xml:space="preserve">Secretária da Comissão de </w:t>
      </w:r>
    </w:p>
    <w:p w14:paraId="5053517A" w14:textId="759C5122" w:rsidR="005353CC" w:rsidRPr="008C34D3" w:rsidRDefault="00170B83" w:rsidP="00073118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1977949E" w14:textId="77777777" w:rsidR="005353CC" w:rsidRPr="008C34D3" w:rsidRDefault="005353CC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2803D0D4" w14:textId="77777777" w:rsidR="00170B83" w:rsidRPr="008C34D3" w:rsidRDefault="00170B83" w:rsidP="0064570D">
      <w:pPr>
        <w:rPr>
          <w:rFonts w:ascii="Cambria" w:hAnsi="Cambria" w:cstheme="minorHAnsi"/>
          <w:sz w:val="23"/>
          <w:szCs w:val="23"/>
        </w:rPr>
      </w:pPr>
    </w:p>
    <w:p w14:paraId="6A11F727" w14:textId="77777777" w:rsidR="00E54691" w:rsidRPr="008C34D3" w:rsidRDefault="00E54691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0AA26ECF" w14:textId="3CC311B6" w:rsidR="001140E4" w:rsidRPr="008C34D3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8C34D3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442CAB78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sz w:val="23"/>
          <w:szCs w:val="23"/>
        </w:rPr>
        <w:t>artigo 63</w:t>
      </w:r>
      <w:r w:rsidRPr="008C34D3">
        <w:rPr>
          <w:rFonts w:ascii="Cambria" w:hAnsi="Cambria" w:cstheme="minorHAnsi"/>
          <w:bCs/>
          <w:sz w:val="23"/>
          <w:szCs w:val="23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8C34D3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8C34D3">
        <w:rPr>
          <w:rFonts w:ascii="Cambria" w:hAnsi="Cambria" w:cstheme="minorHAnsi"/>
          <w:bCs/>
          <w:sz w:val="23"/>
          <w:szCs w:val="23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5FC87CE8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3960D2FD" w14:textId="77777777" w:rsidR="00D90301" w:rsidRPr="00D90301" w:rsidRDefault="00D90301" w:rsidP="00D90301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D90301">
        <w:rPr>
          <w:rFonts w:ascii="Cambria" w:hAnsi="Cambria" w:cstheme="minorHAnsi"/>
          <w:sz w:val="23"/>
          <w:szCs w:val="23"/>
        </w:rPr>
        <w:t>Sala das Comissões, 31 de março de 2026.</w:t>
      </w:r>
    </w:p>
    <w:p w14:paraId="520A7E38" w14:textId="77777777" w:rsidR="00073118" w:rsidRPr="008C34D3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8C34D3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8C34D3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8C34D3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3D3C5A82" w14:textId="6856E6B6" w:rsidR="00FA5355" w:rsidRPr="008C34D3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8C34D3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8C34D3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8C34D3">
        <w:rPr>
          <w:rFonts w:ascii="Cambria" w:hAnsi="Cambria" w:cstheme="minorHAnsi"/>
          <w:bCs/>
          <w:sz w:val="23"/>
          <w:szCs w:val="23"/>
        </w:rPr>
        <w:t>nº 0</w:t>
      </w:r>
      <w:r w:rsidR="00073118" w:rsidRPr="008C34D3">
        <w:rPr>
          <w:rFonts w:ascii="Cambria" w:hAnsi="Cambria" w:cstheme="minorHAnsi"/>
          <w:bCs/>
          <w:sz w:val="23"/>
          <w:szCs w:val="23"/>
        </w:rPr>
        <w:t>0</w:t>
      </w:r>
      <w:r w:rsidR="0064570D" w:rsidRPr="008C34D3">
        <w:rPr>
          <w:rFonts w:ascii="Cambria" w:hAnsi="Cambria" w:cstheme="minorHAnsi"/>
          <w:bCs/>
          <w:sz w:val="23"/>
          <w:szCs w:val="23"/>
        </w:rPr>
        <w:t>7</w:t>
      </w:r>
      <w:r w:rsidR="0023663C" w:rsidRPr="008C34D3">
        <w:rPr>
          <w:rFonts w:ascii="Cambria" w:hAnsi="Cambria" w:cstheme="minorHAnsi"/>
          <w:bCs/>
          <w:sz w:val="23"/>
          <w:szCs w:val="23"/>
        </w:rPr>
        <w:t>/202</w:t>
      </w:r>
      <w:r w:rsidR="00073118" w:rsidRPr="008C34D3">
        <w:rPr>
          <w:rFonts w:ascii="Cambria" w:hAnsi="Cambria" w:cstheme="minorHAnsi"/>
          <w:bCs/>
          <w:sz w:val="23"/>
          <w:szCs w:val="23"/>
        </w:rPr>
        <w:t>6</w:t>
      </w:r>
      <w:r w:rsidR="00625F1B" w:rsidRPr="008C34D3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sectPr w:rsidR="00FA5355" w:rsidRPr="008C34D3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D3DE5" w14:textId="77777777" w:rsidR="00C20A27" w:rsidRDefault="00C20A27">
      <w:pPr>
        <w:rPr>
          <w:rFonts w:hint="eastAsia"/>
        </w:rPr>
      </w:pPr>
      <w:r>
        <w:separator/>
      </w:r>
    </w:p>
  </w:endnote>
  <w:endnote w:type="continuationSeparator" w:id="0">
    <w:p w14:paraId="71F56EC4" w14:textId="77777777" w:rsidR="00C20A27" w:rsidRDefault="00C20A27">
      <w:pPr>
        <w:rPr>
          <w:rFonts w:hint="eastAsia"/>
        </w:rPr>
      </w:pPr>
      <w:r>
        <w:continuationSeparator/>
      </w:r>
    </w:p>
  </w:endnote>
  <w:endnote w:type="continuationNotice" w:id="1">
    <w:p w14:paraId="015C0A58" w14:textId="77777777" w:rsidR="00C20A27" w:rsidRDefault="00C20A27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6616D" w14:textId="77777777" w:rsidR="00C20A27" w:rsidRDefault="00C20A27">
      <w:pPr>
        <w:rPr>
          <w:rFonts w:hint="eastAsia"/>
        </w:rPr>
      </w:pPr>
      <w:r>
        <w:separator/>
      </w:r>
    </w:p>
  </w:footnote>
  <w:footnote w:type="continuationSeparator" w:id="0">
    <w:p w14:paraId="406C91E8" w14:textId="77777777" w:rsidR="00C20A27" w:rsidRDefault="00C20A27">
      <w:pPr>
        <w:rPr>
          <w:rFonts w:hint="eastAsia"/>
        </w:rPr>
      </w:pPr>
      <w:r>
        <w:continuationSeparator/>
      </w:r>
    </w:p>
  </w:footnote>
  <w:footnote w:type="continuationNotice" w:id="1">
    <w:p w14:paraId="775EFE77" w14:textId="77777777" w:rsidR="00C20A27" w:rsidRDefault="00C20A27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0251"/>
    <w:rsid w:val="000E1D8D"/>
    <w:rsid w:val="000E4977"/>
    <w:rsid w:val="000F361E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945F5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879BB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34D3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63F6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669A3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20A27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0301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31FF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979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7</cp:revision>
  <cp:lastPrinted>2025-09-24T18:54:00Z</cp:lastPrinted>
  <dcterms:created xsi:type="dcterms:W3CDTF">2026-03-04T17:43:00Z</dcterms:created>
  <dcterms:modified xsi:type="dcterms:W3CDTF">2026-03-31T23:23:00Z</dcterms:modified>
  <dc:language>pt-BR</dc:language>
</cp:coreProperties>
</file>