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4F9" w:rsidRPr="001E62EB" w:rsidRDefault="00874C54" w:rsidP="00711C67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PROJETO DE LEI DO LEGISLATIVO Nº 013</w:t>
      </w:r>
      <w:r w:rsidR="00761262" w:rsidRPr="001E62EB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1E3064" w:rsidRPr="001E62EB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:rsidR="005C34F9" w:rsidRPr="001E62EB" w:rsidRDefault="004C3539" w:rsidP="001E62EB">
      <w:pPr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874C54">
        <w:rPr>
          <w:rFonts w:ascii="Arial" w:hAnsi="Arial" w:cs="Arial"/>
          <w:b/>
          <w:color w:val="000000" w:themeColor="text1"/>
          <w:sz w:val="24"/>
          <w:szCs w:val="24"/>
        </w:rPr>
        <w:t xml:space="preserve">07 </w:t>
      </w:r>
      <w:r w:rsidR="005C34F9" w:rsidRPr="001E62EB">
        <w:rPr>
          <w:rFonts w:ascii="Arial" w:hAnsi="Arial" w:cs="Arial"/>
          <w:b/>
          <w:color w:val="000000" w:themeColor="text1"/>
          <w:sz w:val="24"/>
          <w:szCs w:val="24"/>
        </w:rPr>
        <w:t>de</w:t>
      </w:r>
      <w:r w:rsidR="00874C54">
        <w:rPr>
          <w:rFonts w:ascii="Arial" w:hAnsi="Arial" w:cs="Arial"/>
          <w:b/>
          <w:color w:val="000000" w:themeColor="text1"/>
          <w:sz w:val="24"/>
          <w:szCs w:val="24"/>
        </w:rPr>
        <w:t xml:space="preserve"> outubro</w:t>
      </w:r>
      <w:r w:rsidR="001E3064" w:rsidRPr="001E62EB">
        <w:rPr>
          <w:rFonts w:ascii="Arial" w:hAnsi="Arial" w:cs="Arial"/>
          <w:b/>
          <w:color w:val="000000" w:themeColor="text1"/>
          <w:sz w:val="24"/>
          <w:szCs w:val="24"/>
        </w:rPr>
        <w:t xml:space="preserve"> de 2.022</w:t>
      </w:r>
    </w:p>
    <w:p w:rsidR="004C3539" w:rsidRPr="001E62EB" w:rsidRDefault="004C3539" w:rsidP="001E62EB">
      <w:pPr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5C34F9" w:rsidRPr="00874C54" w:rsidRDefault="004C3539" w:rsidP="00874C54">
      <w:pPr>
        <w:pStyle w:val="Ttulo6"/>
        <w:spacing w:before="0" w:after="0"/>
        <w:ind w:left="2552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t>AUTOR</w:t>
      </w:r>
      <w:r w:rsidR="00874C54">
        <w:rPr>
          <w:rFonts w:ascii="Arial" w:hAnsi="Arial" w:cs="Arial"/>
          <w:color w:val="000000" w:themeColor="text1"/>
          <w:sz w:val="24"/>
          <w:szCs w:val="24"/>
        </w:rPr>
        <w:t>ES</w:t>
      </w:r>
      <w:r w:rsidR="005C34F9" w:rsidRPr="001E62EB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186CAA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>Jonathan Ramos Medeiros</w:t>
      </w:r>
      <w:r w:rsidR="00186CAA">
        <w:rPr>
          <w:rFonts w:ascii="Arial" w:hAnsi="Arial" w:cs="Arial"/>
          <w:b w:val="0"/>
          <w:color w:val="000000" w:themeColor="text1"/>
          <w:sz w:val="24"/>
          <w:szCs w:val="24"/>
        </w:rPr>
        <w:t>;</w:t>
      </w:r>
      <w:r w:rsidR="00186CAA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AC3143">
        <w:rPr>
          <w:rFonts w:ascii="Arial" w:hAnsi="Arial" w:cs="Arial"/>
          <w:b w:val="0"/>
          <w:color w:val="000000" w:themeColor="text1"/>
          <w:sz w:val="24"/>
          <w:szCs w:val="24"/>
        </w:rPr>
        <w:t>Daise</w:t>
      </w:r>
      <w:proofErr w:type="spellEnd"/>
      <w:r w:rsidR="00AC3143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Martins de </w:t>
      </w:r>
      <w:proofErr w:type="gramStart"/>
      <w:r w:rsidR="00AC3143">
        <w:rPr>
          <w:rFonts w:ascii="Arial" w:hAnsi="Arial" w:cs="Arial"/>
          <w:b w:val="0"/>
          <w:color w:val="000000" w:themeColor="text1"/>
          <w:sz w:val="24"/>
          <w:szCs w:val="24"/>
        </w:rPr>
        <w:t>Souza;</w:t>
      </w:r>
      <w:bookmarkStart w:id="0" w:name="_GoBack"/>
      <w:bookmarkEnd w:id="0"/>
      <w:r w:rsidR="00874C54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>Diego</w:t>
      </w:r>
      <w:proofErr w:type="gramEnd"/>
      <w:r w:rsidR="00874C54" w:rsidRPr="00874C54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Rafael Grendene</w:t>
      </w:r>
    </w:p>
    <w:p w:rsidR="005C34F9" w:rsidRPr="001E62EB" w:rsidRDefault="005C34F9" w:rsidP="001E62EB">
      <w:pPr>
        <w:pStyle w:val="Ttulo3"/>
        <w:spacing w:before="0" w:after="0" w:line="360" w:lineRule="auto"/>
        <w:ind w:left="284" w:firstLine="2268"/>
        <w:jc w:val="both"/>
        <w:rPr>
          <w:rFonts w:cs="Arial"/>
          <w:color w:val="000000" w:themeColor="text1"/>
          <w:sz w:val="24"/>
          <w:szCs w:val="24"/>
        </w:rPr>
      </w:pPr>
    </w:p>
    <w:p w:rsidR="005C34F9" w:rsidRPr="001E62EB" w:rsidRDefault="005C34F9" w:rsidP="00D6021F">
      <w:pPr>
        <w:autoSpaceDE w:val="0"/>
        <w:autoSpaceDN w:val="0"/>
        <w:adjustRightInd w:val="0"/>
        <w:spacing w:after="0" w:line="240" w:lineRule="auto"/>
        <w:ind w:left="5103" w:right="708"/>
        <w:jc w:val="both"/>
        <w:rPr>
          <w:rFonts w:ascii="Arial" w:hAnsi="Arial" w:cs="Arial"/>
          <w:color w:val="000000" w:themeColor="text1"/>
        </w:rPr>
      </w:pPr>
      <w:r w:rsidRPr="001E62EB">
        <w:rPr>
          <w:rFonts w:ascii="Arial" w:hAnsi="Arial" w:cs="Arial"/>
          <w:b/>
          <w:color w:val="000000" w:themeColor="text1"/>
        </w:rPr>
        <w:t>SÚMULA:</w:t>
      </w:r>
      <w:r w:rsidRPr="001E62EB">
        <w:rPr>
          <w:rFonts w:ascii="Arial" w:hAnsi="Arial" w:cs="Arial"/>
          <w:bCs/>
          <w:color w:val="000000" w:themeColor="text1"/>
        </w:rPr>
        <w:t xml:space="preserve"> </w:t>
      </w:r>
      <w:r w:rsidR="007F500C" w:rsidRPr="001E62EB">
        <w:rPr>
          <w:rFonts w:ascii="Arial" w:hAnsi="Arial" w:cs="Arial"/>
          <w:bCs/>
          <w:color w:val="000000" w:themeColor="text1"/>
        </w:rPr>
        <w:t xml:space="preserve">Proíbe o manuseio, a utilização, a queima e a soltura de fogos de estampidos e de artifícios, assim como de quaisquer artefatos pirotécnicos de efeito sonoro ruidoso no âmbito urbano de </w:t>
      </w:r>
      <w:proofErr w:type="spellStart"/>
      <w:r w:rsidR="007F500C" w:rsidRPr="001E62EB">
        <w:rPr>
          <w:rFonts w:ascii="Arial" w:hAnsi="Arial" w:cs="Arial"/>
          <w:bCs/>
          <w:color w:val="000000" w:themeColor="text1"/>
        </w:rPr>
        <w:t>Tapurah</w:t>
      </w:r>
      <w:proofErr w:type="spellEnd"/>
      <w:r w:rsidR="007F500C" w:rsidRPr="001E62EB">
        <w:rPr>
          <w:rFonts w:ascii="Arial" w:hAnsi="Arial" w:cs="Arial"/>
          <w:bCs/>
          <w:color w:val="000000" w:themeColor="text1"/>
        </w:rPr>
        <w:t>-MT</w:t>
      </w:r>
      <w:r w:rsidR="001E3064" w:rsidRPr="001E62EB">
        <w:rPr>
          <w:rFonts w:ascii="Arial" w:hAnsi="Arial" w:cs="Arial"/>
          <w:color w:val="000000" w:themeColor="text1"/>
        </w:rPr>
        <w:t xml:space="preserve"> </w:t>
      </w:r>
      <w:r w:rsidR="00761262" w:rsidRPr="001E62EB">
        <w:rPr>
          <w:rFonts w:ascii="Arial" w:hAnsi="Arial" w:cs="Arial"/>
          <w:color w:val="000000" w:themeColor="text1"/>
        </w:rPr>
        <w:t>e</w:t>
      </w:r>
      <w:r w:rsidR="004C3539" w:rsidRPr="001E62EB">
        <w:rPr>
          <w:rFonts w:ascii="Arial" w:hAnsi="Arial" w:cs="Arial"/>
          <w:color w:val="000000" w:themeColor="text1"/>
        </w:rPr>
        <w:t xml:space="preserve"> dá outras providências.</w:t>
      </w:r>
    </w:p>
    <w:p w:rsidR="00761262" w:rsidRPr="001E62EB" w:rsidRDefault="00761262" w:rsidP="001E62EB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p w:rsidR="00F92C96" w:rsidRPr="001E62EB" w:rsidRDefault="00F92C96" w:rsidP="001E62EB">
      <w:pPr>
        <w:autoSpaceDE w:val="0"/>
        <w:autoSpaceDN w:val="0"/>
        <w:adjustRightInd w:val="0"/>
        <w:spacing w:after="0" w:line="360" w:lineRule="auto"/>
        <w:ind w:left="284" w:firstLine="2268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7F500C" w:rsidRPr="001E62EB" w:rsidRDefault="00EE3F8E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color w:val="000000" w:themeColor="text1"/>
          <w:sz w:val="24"/>
          <w:szCs w:val="24"/>
        </w:rPr>
        <w:t xml:space="preserve">Art. 1°. </w:t>
      </w:r>
      <w:r w:rsidR="007F500C" w:rsidRPr="001E62EB">
        <w:rPr>
          <w:rFonts w:ascii="Arial" w:hAnsi="Arial" w:cs="Arial"/>
          <w:sz w:val="24"/>
          <w:szCs w:val="24"/>
        </w:rPr>
        <w:t xml:space="preserve">Fica proibido o manuseio, a utilização, a queima e a soltura de fogos de estampidos e de artifícios, assim como de quaisquer artefatos pirotécnicos de efeito sonoro ruidoso em todo a área urbana e zona de expansão urbana do município de </w:t>
      </w:r>
      <w:proofErr w:type="spellStart"/>
      <w:r w:rsidR="007F500C" w:rsidRPr="001E62EB">
        <w:rPr>
          <w:rFonts w:ascii="Arial" w:hAnsi="Arial" w:cs="Arial"/>
          <w:sz w:val="24"/>
          <w:szCs w:val="24"/>
        </w:rPr>
        <w:t>Tapurah</w:t>
      </w:r>
      <w:proofErr w:type="spellEnd"/>
      <w:r w:rsidR="007F500C" w:rsidRPr="001E62EB">
        <w:rPr>
          <w:rFonts w:ascii="Arial" w:hAnsi="Arial" w:cs="Arial"/>
          <w:sz w:val="24"/>
          <w:szCs w:val="24"/>
        </w:rPr>
        <w:t>-MT.</w:t>
      </w:r>
    </w:p>
    <w:p w:rsidR="007F500C" w:rsidRPr="001E62EB" w:rsidRDefault="007F500C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Parágrafo único.</w:t>
      </w:r>
      <w:r w:rsidRPr="001E62EB">
        <w:rPr>
          <w:rFonts w:ascii="Arial" w:hAnsi="Arial" w:cs="Arial"/>
          <w:sz w:val="24"/>
          <w:szCs w:val="24"/>
        </w:rPr>
        <w:t xml:space="preserve"> Excetuam-se da regra prevista no “caput” deste artigo os fogos de vista, assim denominados aqueles que produzem efeitos visuais sem estampido, assim como os similares que acarretam barulho de baixa intensidade.</w:t>
      </w:r>
    </w:p>
    <w:p w:rsidR="001E62EB" w:rsidRPr="001E62EB" w:rsidRDefault="00EE3F8E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color w:val="000000" w:themeColor="text1"/>
          <w:sz w:val="24"/>
          <w:szCs w:val="24"/>
        </w:rPr>
        <w:t>Art. 2°.</w:t>
      </w:r>
      <w:r w:rsidRPr="001E62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F500C" w:rsidRPr="001E62EB">
        <w:rPr>
          <w:rFonts w:ascii="Arial" w:hAnsi="Arial" w:cs="Arial"/>
          <w:sz w:val="24"/>
          <w:szCs w:val="24"/>
        </w:rPr>
        <w:t>A proibição a que se r</w:t>
      </w:r>
      <w:r w:rsidR="001E62EB" w:rsidRPr="001E62EB">
        <w:rPr>
          <w:rFonts w:ascii="Arial" w:hAnsi="Arial" w:cs="Arial"/>
          <w:sz w:val="24"/>
          <w:szCs w:val="24"/>
        </w:rPr>
        <w:t>efere esta lei estende-se a toda área urbana e zona de expansão urbana</w:t>
      </w:r>
      <w:r w:rsidR="007F500C" w:rsidRPr="001E62EB">
        <w:rPr>
          <w:rFonts w:ascii="Arial" w:hAnsi="Arial" w:cs="Arial"/>
          <w:sz w:val="24"/>
          <w:szCs w:val="24"/>
        </w:rPr>
        <w:t xml:space="preserve"> </w:t>
      </w:r>
      <w:r w:rsidR="001E62EB" w:rsidRPr="001E62EB">
        <w:rPr>
          <w:rFonts w:ascii="Arial" w:hAnsi="Arial" w:cs="Arial"/>
          <w:sz w:val="24"/>
          <w:szCs w:val="24"/>
        </w:rPr>
        <w:t>d</w:t>
      </w:r>
      <w:r w:rsidR="007F500C" w:rsidRPr="001E62EB">
        <w:rPr>
          <w:rFonts w:ascii="Arial" w:hAnsi="Arial" w:cs="Arial"/>
          <w:sz w:val="24"/>
          <w:szCs w:val="24"/>
        </w:rPr>
        <w:t>o Município, em</w:t>
      </w:r>
      <w:r w:rsidR="001E62EB" w:rsidRPr="001E62EB">
        <w:rPr>
          <w:rFonts w:ascii="Arial" w:hAnsi="Arial" w:cs="Arial"/>
          <w:sz w:val="24"/>
          <w:szCs w:val="24"/>
        </w:rPr>
        <w:t xml:space="preserve"> </w:t>
      </w:r>
      <w:r w:rsidR="007F500C" w:rsidRPr="001E62EB">
        <w:rPr>
          <w:rFonts w:ascii="Arial" w:hAnsi="Arial" w:cs="Arial"/>
          <w:sz w:val="24"/>
          <w:szCs w:val="24"/>
        </w:rPr>
        <w:t>recintos fechados e abertos, áreas públicas e locais privados.</w:t>
      </w:r>
    </w:p>
    <w:p w:rsidR="001E62EB" w:rsidRP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§1°.</w:t>
      </w:r>
      <w:r w:rsidRPr="001E62EB">
        <w:rPr>
          <w:rFonts w:ascii="Arial" w:hAnsi="Arial" w:cs="Arial"/>
          <w:sz w:val="24"/>
          <w:szCs w:val="24"/>
        </w:rPr>
        <w:t xml:space="preserve"> Os eventos realizados fora da zon</w:t>
      </w:r>
      <w:r w:rsidR="00905946">
        <w:rPr>
          <w:rFonts w:ascii="Arial" w:hAnsi="Arial" w:cs="Arial"/>
          <w:sz w:val="24"/>
          <w:szCs w:val="24"/>
        </w:rPr>
        <w:t xml:space="preserve">a urbana e de expansão urbana, </w:t>
      </w:r>
      <w:r w:rsidRPr="001E62EB">
        <w:rPr>
          <w:rFonts w:ascii="Arial" w:hAnsi="Arial" w:cs="Arial"/>
          <w:sz w:val="24"/>
          <w:szCs w:val="24"/>
        </w:rPr>
        <w:t>previstos em legislação municipal, não precisam cumprir o disposto no art. 1° desta lei.</w:t>
      </w:r>
    </w:p>
    <w:p w:rsid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§2°.</w:t>
      </w:r>
      <w:r w:rsidRPr="001E62EB">
        <w:rPr>
          <w:rFonts w:ascii="Arial" w:hAnsi="Arial" w:cs="Arial"/>
          <w:sz w:val="24"/>
          <w:szCs w:val="24"/>
        </w:rPr>
        <w:t xml:space="preserve"> Eventos realizados no Parque de Exposição não precisão cumprir o disposto no art. 1° desta lei.</w:t>
      </w:r>
    </w:p>
    <w:p w:rsidR="001E62EB" w:rsidRPr="00D6021F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§3°. </w:t>
      </w:r>
      <w:r w:rsidR="00D6021F" w:rsidRPr="00874C54">
        <w:rPr>
          <w:rFonts w:ascii="Arial" w:hAnsi="Arial" w:cs="Arial"/>
          <w:sz w:val="24"/>
          <w:szCs w:val="24"/>
        </w:rPr>
        <w:t>O Poder Executivo Municipal em situações excepcionais poderá autorizar uso de fogos de artificio ou qualquer outro artefato pirotécnico que não seja silenci</w:t>
      </w:r>
      <w:r w:rsidR="00874C54" w:rsidRPr="00874C54">
        <w:rPr>
          <w:rFonts w:ascii="Arial" w:hAnsi="Arial" w:cs="Arial"/>
          <w:sz w:val="24"/>
          <w:szCs w:val="24"/>
        </w:rPr>
        <w:t>oso em eventos especiais que o Poder E</w:t>
      </w:r>
      <w:r w:rsidR="00D6021F" w:rsidRPr="00874C54">
        <w:rPr>
          <w:rFonts w:ascii="Arial" w:hAnsi="Arial" w:cs="Arial"/>
          <w:sz w:val="24"/>
          <w:szCs w:val="24"/>
        </w:rPr>
        <w:t>xecutivo esteja executando ou apoiando o evento.</w:t>
      </w:r>
      <w:r w:rsidR="00D6021F" w:rsidRPr="00D6021F">
        <w:rPr>
          <w:rFonts w:ascii="Arial" w:hAnsi="Arial" w:cs="Arial"/>
          <w:sz w:val="24"/>
          <w:szCs w:val="24"/>
        </w:rPr>
        <w:t xml:space="preserve"> </w:t>
      </w:r>
    </w:p>
    <w:p w:rsidR="001E62EB" w:rsidRPr="001E62EB" w:rsidRDefault="007F500C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lastRenderedPageBreak/>
        <w:t>Art. 3</w:t>
      </w:r>
      <w:r w:rsidR="001E62EB" w:rsidRPr="001E62EB">
        <w:rPr>
          <w:rFonts w:ascii="Arial" w:hAnsi="Arial" w:cs="Arial"/>
          <w:b/>
          <w:sz w:val="24"/>
          <w:szCs w:val="24"/>
        </w:rPr>
        <w:t>°.</w:t>
      </w:r>
      <w:r w:rsidRPr="001E62EB">
        <w:rPr>
          <w:rFonts w:ascii="Arial" w:hAnsi="Arial" w:cs="Arial"/>
          <w:sz w:val="24"/>
          <w:szCs w:val="24"/>
        </w:rPr>
        <w:t xml:space="preserve"> O descumprimento ao disposto nessa lei acarretará ao infrator a imposição de</w:t>
      </w:r>
      <w:r w:rsidR="001E62EB" w:rsidRPr="001E62EB">
        <w:rPr>
          <w:rFonts w:ascii="Arial" w:hAnsi="Arial" w:cs="Arial"/>
          <w:sz w:val="24"/>
          <w:szCs w:val="24"/>
        </w:rPr>
        <w:t xml:space="preserve"> </w:t>
      </w:r>
      <w:r w:rsidRPr="001E62EB">
        <w:rPr>
          <w:rFonts w:ascii="Arial" w:hAnsi="Arial" w:cs="Arial"/>
          <w:sz w:val="24"/>
          <w:szCs w:val="24"/>
        </w:rPr>
        <w:t>multa no montante d</w:t>
      </w:r>
      <w:r w:rsidR="001E62EB" w:rsidRPr="001E62EB">
        <w:rPr>
          <w:rFonts w:ascii="Arial" w:hAnsi="Arial" w:cs="Arial"/>
          <w:sz w:val="24"/>
          <w:szCs w:val="24"/>
        </w:rPr>
        <w:t>e 100 UFT</w:t>
      </w:r>
      <w:r w:rsidRPr="001E62EB">
        <w:rPr>
          <w:rFonts w:ascii="Arial" w:hAnsi="Arial" w:cs="Arial"/>
          <w:sz w:val="24"/>
          <w:szCs w:val="24"/>
        </w:rPr>
        <w:t xml:space="preserve"> (Unidade Fiscal de </w:t>
      </w:r>
      <w:proofErr w:type="spellStart"/>
      <w:r w:rsidR="001E62EB" w:rsidRPr="001E62EB">
        <w:rPr>
          <w:rFonts w:ascii="Arial" w:hAnsi="Arial" w:cs="Arial"/>
          <w:sz w:val="24"/>
          <w:szCs w:val="24"/>
        </w:rPr>
        <w:t>Tapurah</w:t>
      </w:r>
      <w:proofErr w:type="spellEnd"/>
      <w:r w:rsidRPr="001E62EB">
        <w:rPr>
          <w:rFonts w:ascii="Arial" w:hAnsi="Arial" w:cs="Arial"/>
          <w:sz w:val="24"/>
          <w:szCs w:val="24"/>
        </w:rPr>
        <w:t>)</w:t>
      </w:r>
      <w:r w:rsidR="001E62EB" w:rsidRPr="001E62EB">
        <w:rPr>
          <w:rFonts w:ascii="Arial" w:hAnsi="Arial" w:cs="Arial"/>
          <w:sz w:val="24"/>
          <w:szCs w:val="24"/>
        </w:rPr>
        <w:t>.</w:t>
      </w:r>
    </w:p>
    <w:p w:rsidR="001E62EB" w:rsidRP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§1°.</w:t>
      </w:r>
      <w:r w:rsidRPr="001E62EB">
        <w:rPr>
          <w:rFonts w:ascii="Arial" w:hAnsi="Arial" w:cs="Arial"/>
          <w:sz w:val="24"/>
          <w:szCs w:val="24"/>
        </w:rPr>
        <w:t xml:space="preserve"> Em caso de reincidência a multa será dobrada. </w:t>
      </w:r>
    </w:p>
    <w:p w:rsidR="001E62EB" w:rsidRP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§2°.</w:t>
      </w:r>
      <w:r w:rsidRPr="001E62EB">
        <w:rPr>
          <w:rFonts w:ascii="Arial" w:hAnsi="Arial" w:cs="Arial"/>
          <w:sz w:val="24"/>
          <w:szCs w:val="24"/>
        </w:rPr>
        <w:t xml:space="preserve"> Entende-se como reincidência</w:t>
      </w:r>
      <w:r w:rsidR="007F500C" w:rsidRPr="001E62EB">
        <w:rPr>
          <w:rFonts w:ascii="Arial" w:hAnsi="Arial" w:cs="Arial"/>
          <w:sz w:val="24"/>
          <w:szCs w:val="24"/>
        </w:rPr>
        <w:t xml:space="preserve"> o cometimento da mesma infração num</w:t>
      </w:r>
      <w:r>
        <w:rPr>
          <w:rFonts w:ascii="Arial" w:hAnsi="Arial" w:cs="Arial"/>
          <w:sz w:val="24"/>
          <w:szCs w:val="24"/>
        </w:rPr>
        <w:t xml:space="preserve"> </w:t>
      </w:r>
      <w:r w:rsidR="007F500C" w:rsidRPr="001E62EB">
        <w:rPr>
          <w:rFonts w:ascii="Arial" w:hAnsi="Arial" w:cs="Arial"/>
          <w:sz w:val="24"/>
          <w:szCs w:val="24"/>
        </w:rPr>
        <w:t xml:space="preserve">período </w:t>
      </w:r>
      <w:r w:rsidR="00874C54">
        <w:rPr>
          <w:rFonts w:ascii="Arial" w:hAnsi="Arial" w:cs="Arial"/>
          <w:sz w:val="24"/>
          <w:szCs w:val="24"/>
        </w:rPr>
        <w:t>12 (doze) meses</w:t>
      </w:r>
      <w:r w:rsidR="007F500C" w:rsidRPr="001E62EB">
        <w:rPr>
          <w:rFonts w:ascii="Arial" w:hAnsi="Arial" w:cs="Arial"/>
          <w:sz w:val="24"/>
          <w:szCs w:val="24"/>
        </w:rPr>
        <w:t>.</w:t>
      </w:r>
    </w:p>
    <w:p w:rsidR="001E62EB" w:rsidRP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§3°.</w:t>
      </w:r>
      <w:r w:rsidR="007F500C" w:rsidRPr="001E62EB">
        <w:rPr>
          <w:rFonts w:ascii="Arial" w:hAnsi="Arial" w:cs="Arial"/>
          <w:sz w:val="24"/>
          <w:szCs w:val="24"/>
        </w:rPr>
        <w:t xml:space="preserve"> A multa de que trata o "caput" deste artigo será atualizada</w:t>
      </w:r>
      <w:r w:rsidR="007F500C" w:rsidRPr="001E62EB">
        <w:rPr>
          <w:rFonts w:ascii="Arial" w:hAnsi="Arial" w:cs="Arial"/>
          <w:sz w:val="24"/>
          <w:szCs w:val="24"/>
        </w:rPr>
        <w:br/>
        <w:t xml:space="preserve">anualmente </w:t>
      </w:r>
      <w:r w:rsidRPr="001E62EB">
        <w:rPr>
          <w:rFonts w:ascii="Arial" w:hAnsi="Arial" w:cs="Arial"/>
          <w:sz w:val="24"/>
          <w:szCs w:val="24"/>
        </w:rPr>
        <w:t xml:space="preserve">conforme atualização da Unidade Fiscal de </w:t>
      </w:r>
      <w:proofErr w:type="spellStart"/>
      <w:r w:rsidRPr="001E62EB">
        <w:rPr>
          <w:rFonts w:ascii="Arial" w:hAnsi="Arial" w:cs="Arial"/>
          <w:sz w:val="24"/>
          <w:szCs w:val="24"/>
        </w:rPr>
        <w:t>Tapurah</w:t>
      </w:r>
      <w:proofErr w:type="spellEnd"/>
      <w:r w:rsidR="007F500C" w:rsidRPr="001E62EB">
        <w:rPr>
          <w:rFonts w:ascii="Arial" w:hAnsi="Arial" w:cs="Arial"/>
          <w:sz w:val="24"/>
          <w:szCs w:val="24"/>
        </w:rPr>
        <w:t>.</w:t>
      </w:r>
    </w:p>
    <w:p w:rsidR="001E62EB" w:rsidRPr="001E62EB" w:rsidRDefault="007F500C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905946">
        <w:rPr>
          <w:rFonts w:ascii="Arial" w:hAnsi="Arial" w:cs="Arial"/>
          <w:b/>
          <w:sz w:val="24"/>
          <w:szCs w:val="24"/>
        </w:rPr>
        <w:t>Art. 4</w:t>
      </w:r>
      <w:r w:rsidR="001E62EB" w:rsidRPr="00905946">
        <w:rPr>
          <w:rFonts w:ascii="Arial" w:hAnsi="Arial" w:cs="Arial"/>
          <w:b/>
          <w:sz w:val="24"/>
          <w:szCs w:val="24"/>
        </w:rPr>
        <w:t>°.</w:t>
      </w:r>
      <w:r w:rsidRPr="001E62EB">
        <w:rPr>
          <w:rFonts w:ascii="Arial" w:hAnsi="Arial" w:cs="Arial"/>
          <w:sz w:val="24"/>
          <w:szCs w:val="24"/>
        </w:rPr>
        <w:t xml:space="preserve"> As despesas decorrentes da execução desta lei correrão por conta das</w:t>
      </w:r>
      <w:r w:rsidR="001E62EB" w:rsidRPr="001E62EB">
        <w:rPr>
          <w:rFonts w:ascii="Arial" w:hAnsi="Arial" w:cs="Arial"/>
          <w:sz w:val="24"/>
          <w:szCs w:val="24"/>
        </w:rPr>
        <w:t xml:space="preserve"> </w:t>
      </w:r>
      <w:r w:rsidRPr="001E62EB">
        <w:rPr>
          <w:rFonts w:ascii="Arial" w:hAnsi="Arial" w:cs="Arial"/>
          <w:sz w:val="24"/>
          <w:szCs w:val="24"/>
        </w:rPr>
        <w:t>dotações orçamentárias próprias, suplementadas se necessário.</w:t>
      </w:r>
    </w:p>
    <w:p w:rsidR="007F500C" w:rsidRPr="001E62EB" w:rsidRDefault="007F500C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sz w:val="24"/>
          <w:szCs w:val="24"/>
        </w:rPr>
      </w:pPr>
      <w:r w:rsidRPr="001E62EB">
        <w:rPr>
          <w:rFonts w:ascii="Arial" w:hAnsi="Arial" w:cs="Arial"/>
          <w:b/>
          <w:sz w:val="24"/>
          <w:szCs w:val="24"/>
        </w:rPr>
        <w:t>Art. 5</w:t>
      </w:r>
      <w:r w:rsidR="001E62EB" w:rsidRPr="001E62EB">
        <w:rPr>
          <w:rFonts w:ascii="Arial" w:hAnsi="Arial" w:cs="Arial"/>
          <w:b/>
          <w:sz w:val="24"/>
          <w:szCs w:val="24"/>
        </w:rPr>
        <w:t>°.</w:t>
      </w:r>
      <w:r w:rsidRPr="001E62EB">
        <w:rPr>
          <w:rFonts w:ascii="Arial" w:hAnsi="Arial" w:cs="Arial"/>
          <w:sz w:val="24"/>
          <w:szCs w:val="24"/>
        </w:rPr>
        <w:t xml:space="preserve"> O Poder Executivo regulamentará a presente lei no prazo de </w:t>
      </w:r>
      <w:r w:rsidR="001E62EB" w:rsidRPr="001E62EB">
        <w:rPr>
          <w:rFonts w:ascii="Arial" w:hAnsi="Arial" w:cs="Arial"/>
          <w:sz w:val="24"/>
          <w:szCs w:val="24"/>
        </w:rPr>
        <w:t>180</w:t>
      </w:r>
      <w:r w:rsidR="00874C54">
        <w:rPr>
          <w:rFonts w:ascii="Arial" w:hAnsi="Arial" w:cs="Arial"/>
          <w:sz w:val="24"/>
          <w:szCs w:val="24"/>
        </w:rPr>
        <w:t xml:space="preserve"> </w:t>
      </w:r>
      <w:r w:rsidRPr="001E62EB">
        <w:rPr>
          <w:rFonts w:ascii="Arial" w:hAnsi="Arial" w:cs="Arial"/>
          <w:sz w:val="24"/>
          <w:szCs w:val="24"/>
        </w:rPr>
        <w:t>(</w:t>
      </w:r>
      <w:r w:rsidR="00905946">
        <w:rPr>
          <w:rFonts w:ascii="Arial" w:hAnsi="Arial" w:cs="Arial"/>
          <w:sz w:val="24"/>
          <w:szCs w:val="24"/>
        </w:rPr>
        <w:t xml:space="preserve">cento </w:t>
      </w:r>
      <w:r w:rsidR="001E62EB" w:rsidRPr="001E62EB">
        <w:rPr>
          <w:rFonts w:ascii="Arial" w:hAnsi="Arial" w:cs="Arial"/>
          <w:sz w:val="24"/>
          <w:szCs w:val="24"/>
        </w:rPr>
        <w:t>e oitenta dias</w:t>
      </w:r>
      <w:r w:rsidRPr="001E62EB">
        <w:rPr>
          <w:rFonts w:ascii="Arial" w:hAnsi="Arial" w:cs="Arial"/>
          <w:sz w:val="24"/>
          <w:szCs w:val="24"/>
        </w:rPr>
        <w:t>) dias, contados da data de sua publicação</w:t>
      </w:r>
      <w:r w:rsidR="001E62EB" w:rsidRPr="001E62EB">
        <w:rPr>
          <w:rFonts w:ascii="Arial" w:hAnsi="Arial" w:cs="Arial"/>
          <w:sz w:val="24"/>
          <w:szCs w:val="24"/>
        </w:rPr>
        <w:t>.</w:t>
      </w:r>
    </w:p>
    <w:p w:rsidR="00656422" w:rsidRPr="001E62EB" w:rsidRDefault="001E62EB" w:rsidP="001E62EB">
      <w:pPr>
        <w:autoSpaceDE w:val="0"/>
        <w:autoSpaceDN w:val="0"/>
        <w:adjustRightInd w:val="0"/>
        <w:spacing w:after="0" w:line="360" w:lineRule="auto"/>
        <w:ind w:left="284" w:right="708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b/>
          <w:color w:val="000000" w:themeColor="text1"/>
          <w:sz w:val="24"/>
          <w:szCs w:val="24"/>
        </w:rPr>
        <w:t>Art. 6°</w:t>
      </w:r>
      <w:r w:rsidR="00656422" w:rsidRPr="001E62EB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7F500C" w:rsidRPr="001E62EB">
        <w:rPr>
          <w:rFonts w:ascii="Arial" w:hAnsi="Arial" w:cs="Arial"/>
          <w:color w:val="000000" w:themeColor="text1"/>
          <w:sz w:val="24"/>
          <w:szCs w:val="24"/>
        </w:rPr>
        <w:t xml:space="preserve"> Esta Lei entra em vigor na data de sua publicação,</w:t>
      </w:r>
      <w:r w:rsidR="00114C7B" w:rsidRPr="001E62EB">
        <w:rPr>
          <w:rFonts w:ascii="Arial" w:hAnsi="Arial" w:cs="Arial"/>
          <w:color w:val="000000" w:themeColor="text1"/>
          <w:sz w:val="24"/>
          <w:szCs w:val="24"/>
        </w:rPr>
        <w:t xml:space="preserve"> revogando-se as disposições em contrário</w:t>
      </w:r>
      <w:r w:rsidR="00260D7E" w:rsidRPr="001E62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60D7E" w:rsidRPr="001E62EB" w:rsidRDefault="00260D7E" w:rsidP="001E62EB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60D7E" w:rsidRPr="001E62EB" w:rsidRDefault="007F500C" w:rsidP="001E62EB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t xml:space="preserve">Câmara Municipal de </w:t>
      </w:r>
      <w:proofErr w:type="spellStart"/>
      <w:r w:rsidRPr="001E62EB">
        <w:rPr>
          <w:rFonts w:ascii="Arial" w:hAnsi="Arial" w:cs="Arial"/>
          <w:color w:val="000000" w:themeColor="text1"/>
          <w:sz w:val="24"/>
          <w:szCs w:val="24"/>
        </w:rPr>
        <w:t>Tapurah</w:t>
      </w:r>
      <w:proofErr w:type="spellEnd"/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>, Estado de Mato Grosso, ao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>s</w:t>
      </w:r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4C54">
        <w:rPr>
          <w:rFonts w:ascii="Arial" w:hAnsi="Arial" w:cs="Arial"/>
          <w:color w:val="000000" w:themeColor="text1"/>
          <w:sz w:val="24"/>
          <w:szCs w:val="24"/>
        </w:rPr>
        <w:t>07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 xml:space="preserve"> dias do mês de</w:t>
      </w:r>
      <w:r w:rsidR="00874C54">
        <w:rPr>
          <w:rFonts w:ascii="Arial" w:hAnsi="Arial" w:cs="Arial"/>
          <w:color w:val="000000" w:themeColor="text1"/>
          <w:sz w:val="24"/>
          <w:szCs w:val="24"/>
        </w:rPr>
        <w:t xml:space="preserve"> outubro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 xml:space="preserve"> de 2</w:t>
      </w:r>
      <w:r w:rsidR="004C3539" w:rsidRPr="001E62EB">
        <w:rPr>
          <w:rFonts w:ascii="Arial" w:hAnsi="Arial" w:cs="Arial"/>
          <w:color w:val="000000" w:themeColor="text1"/>
          <w:sz w:val="24"/>
          <w:szCs w:val="24"/>
        </w:rPr>
        <w:t>0</w:t>
      </w:r>
      <w:r w:rsidR="003A0FD5" w:rsidRPr="001E62EB">
        <w:rPr>
          <w:rFonts w:ascii="Arial" w:hAnsi="Arial" w:cs="Arial"/>
          <w:color w:val="000000" w:themeColor="text1"/>
          <w:sz w:val="24"/>
          <w:szCs w:val="24"/>
        </w:rPr>
        <w:t>2</w:t>
      </w:r>
      <w:r w:rsidR="00DA2E27" w:rsidRPr="001E62EB">
        <w:rPr>
          <w:rFonts w:ascii="Arial" w:hAnsi="Arial" w:cs="Arial"/>
          <w:color w:val="000000" w:themeColor="text1"/>
          <w:sz w:val="24"/>
          <w:szCs w:val="24"/>
        </w:rPr>
        <w:t>2</w:t>
      </w:r>
      <w:r w:rsidR="003206F7" w:rsidRPr="001E62EB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60D7E" w:rsidRPr="001E62EB" w:rsidRDefault="00260D7E">
      <w:pPr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3206F7" w:rsidRPr="001E62EB" w:rsidRDefault="003206F7" w:rsidP="007F500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lastRenderedPageBreak/>
        <w:t>MENSA</w:t>
      </w:r>
      <w:r w:rsidR="00B079DC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G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EM AO PROJETO DE LEI</w:t>
      </w:r>
      <w:r w:rsidR="00874C54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 DO LEGISLATIVO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 xml:space="preserve"> n° 0</w:t>
      </w:r>
      <w:r w:rsidR="00874C54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13</w:t>
      </w:r>
      <w:r w:rsidR="00B15347" w:rsidRPr="001E62EB">
        <w:rPr>
          <w:rFonts w:ascii="Arial" w:hAnsi="Arial" w:cs="Arial"/>
          <w:b/>
          <w:bCs/>
          <w:iCs/>
          <w:color w:val="000000" w:themeColor="text1"/>
          <w:sz w:val="24"/>
          <w:szCs w:val="24"/>
        </w:rPr>
        <w:t>/2022</w:t>
      </w:r>
    </w:p>
    <w:p w:rsidR="003206F7" w:rsidRPr="001E62EB" w:rsidRDefault="003206F7" w:rsidP="004C3539">
      <w:pPr>
        <w:spacing w:after="0" w:line="360" w:lineRule="auto"/>
        <w:ind w:firstLine="1701"/>
        <w:rPr>
          <w:rFonts w:ascii="Arial" w:hAnsi="Arial" w:cs="Arial"/>
          <w:color w:val="000000" w:themeColor="text1"/>
          <w:sz w:val="24"/>
          <w:szCs w:val="24"/>
        </w:rPr>
      </w:pPr>
    </w:p>
    <w:p w:rsidR="003206F7" w:rsidRPr="001E62EB" w:rsidRDefault="003206F7" w:rsidP="004C3539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</w:pPr>
      <w:r w:rsidRPr="001E62EB"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  <w:t>JUSTIFICATIVA</w:t>
      </w:r>
    </w:p>
    <w:p w:rsidR="00E23006" w:rsidRPr="001E62EB" w:rsidRDefault="00E23006" w:rsidP="004C353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A queima de fogos de artifício causa traumas irreversíveis aos animais,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especialmente aqueles dotados de sensibilidade auditiva. Em alguns casos, os cães se debatem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presos às coleiras até a morte por asfixia. Os gatos sofrem severas alterações cardíacas com as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explosões e os pássaros têm a saúde muito afetada;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Dezenas de mortes, enforcamentos em coleiras, fugas desesperadas, quedas de janelas, automutilação, distúrbios digestivos, acontecem na passagem do ano, porque o barulho excessivo para os cães é insuportável, muitas vezes enlouquecedor;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Os cães que não estão habituados ao barulho ou sons intensos geralmente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reagem mal aos fogos de artifício. Alguns cães mostram-se incomodados, mas outros podem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mesmo desenvolver fobias e entrar em pânico;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Além de trazerem riscos aos animais, que são reféns do uso dos fogos, estes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artefatos podem causar danos irreversíveis às pessoas que os manipulam. Segundo dados da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Sociedade Brasileira de Ortopedia e Traumatologia – SBOT, nos últimos vinte anos, foram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registrados 122 óbitos por acidentes com fogos de artifício, sendo que 23,8% dos acidentados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eram menores de 18 anos.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 xml:space="preserve">Além disso, podemos citar as crianças com necessidades </w:t>
      </w:r>
      <w:proofErr w:type="gramStart"/>
      <w:r w:rsidRPr="001E62EB">
        <w:rPr>
          <w:rFonts w:ascii="Arial" w:hAnsi="Arial" w:cs="Arial"/>
        </w:rPr>
        <w:t>especiais,</w:t>
      </w:r>
      <w:r w:rsidRPr="001E62EB">
        <w:rPr>
          <w:rFonts w:ascii="Arial" w:hAnsi="Arial" w:cs="Arial"/>
        </w:rPr>
        <w:br/>
        <w:t>principalmente</w:t>
      </w:r>
      <w:proofErr w:type="gramEnd"/>
      <w:r w:rsidRPr="001E62EB">
        <w:rPr>
          <w:rFonts w:ascii="Arial" w:hAnsi="Arial" w:cs="Arial"/>
        </w:rPr>
        <w:t xml:space="preserve"> as portadoras dos Transtornos do Espectro Autista que não conseguem similar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os estouros de fogos de artifícios e entram em crises que podem desencadear graves</w:t>
      </w:r>
      <w:r w:rsidRPr="001E62EB">
        <w:rPr>
          <w:rFonts w:ascii="Arial" w:hAnsi="Arial" w:cs="Arial"/>
        </w:rPr>
        <w:br/>
        <w:t>problemas, podendo se machucar ou machucar pessoas próximas devido às alterações</w:t>
      </w:r>
      <w:r w:rsidRPr="001E62EB">
        <w:rPr>
          <w:rFonts w:ascii="Arial" w:hAnsi="Arial" w:cs="Arial"/>
        </w:rPr>
        <w:br/>
        <w:t xml:space="preserve">sensoriais, causada pelo cérebro </w:t>
      </w:r>
      <w:proofErr w:type="spellStart"/>
      <w:r w:rsidRPr="001E62EB">
        <w:rPr>
          <w:rFonts w:ascii="Arial" w:hAnsi="Arial" w:cs="Arial"/>
        </w:rPr>
        <w:t>hiperestimulado</w:t>
      </w:r>
      <w:proofErr w:type="spellEnd"/>
      <w:r w:rsidRPr="001E62EB">
        <w:rPr>
          <w:rFonts w:ascii="Arial" w:hAnsi="Arial" w:cs="Arial"/>
        </w:rPr>
        <w:t>. O som mais intenso provoca dor nos</w:t>
      </w:r>
      <w:r w:rsidRPr="001E62EB">
        <w:rPr>
          <w:rFonts w:ascii="Arial" w:hAnsi="Arial" w:cs="Arial"/>
        </w:rPr>
        <w:br/>
        <w:t>autistas.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Dados do Ministério da Saúde apontam que mais de 7000 pessoas, nos últimos anos, sofreram lesões em resultado ao uso de fogos. Os atendimentos hospitalares decorrentes dividem-se da seguinte forma: 70% provocados por queimaduras, 20% por lesões com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lacerações e cortes; e 10% por amputações de membros superiores, lesões de córnea, perda de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visão, lesões do pavilhão auditivo e até perda de audição;</w:t>
      </w:r>
    </w:p>
    <w:p w:rsidR="007F500C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</w:rPr>
      </w:pPr>
      <w:r w:rsidRPr="001E62EB">
        <w:rPr>
          <w:rFonts w:ascii="Arial" w:hAnsi="Arial" w:cs="Arial"/>
        </w:rPr>
        <w:t>O presente PL não tem como objetivo acabar com os espetáculos e festejos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realizados com fogos de artifícios, apenas visa proibir que sejam utilizados artefatos que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>causem barulho, estampido e explosões, causando risco à vida humana e dos animais.</w:t>
      </w:r>
    </w:p>
    <w:p w:rsidR="003206F7" w:rsidRPr="001E62EB" w:rsidRDefault="007F500C" w:rsidP="00874C54">
      <w:pPr>
        <w:spacing w:after="120" w:line="240" w:lineRule="auto"/>
        <w:ind w:left="284" w:right="709" w:firstLine="2268"/>
        <w:jc w:val="both"/>
        <w:rPr>
          <w:rFonts w:ascii="Arial" w:hAnsi="Arial" w:cs="Arial"/>
          <w:color w:val="000000" w:themeColor="text1"/>
        </w:rPr>
      </w:pPr>
      <w:r w:rsidRPr="001E62EB">
        <w:rPr>
          <w:rFonts w:ascii="Arial" w:hAnsi="Arial" w:cs="Arial"/>
        </w:rPr>
        <w:t xml:space="preserve"> O</w:t>
      </w:r>
      <w:r w:rsidR="00874C54">
        <w:rPr>
          <w:rFonts w:ascii="Arial" w:hAnsi="Arial" w:cs="Arial"/>
        </w:rPr>
        <w:t xml:space="preserve"> </w:t>
      </w:r>
      <w:r w:rsidRPr="001E62EB">
        <w:rPr>
          <w:rFonts w:ascii="Arial" w:hAnsi="Arial" w:cs="Arial"/>
        </w:rPr>
        <w:t xml:space="preserve">benefício do espetáculo dos fogos de artifício é visual e é conseguido com o uso de artigos pirotécnicos sem estampido, também conhecidos como fogos de vista. </w:t>
      </w:r>
      <w:r w:rsidR="00E23006" w:rsidRPr="001E62EB">
        <w:rPr>
          <w:rFonts w:ascii="Arial" w:hAnsi="Arial" w:cs="Arial"/>
          <w:color w:val="000000" w:themeColor="text1"/>
        </w:rPr>
        <w:t>A presente proposição se amolda dentro das competências da Câmara Municipal de vereadores prevista no inciso VIII, do art. 30 da Lei Orgânica. Esse projeto além de respeitar a Lei Orgânica e a Constituição obje</w:t>
      </w:r>
      <w:r w:rsidR="00281D9E" w:rsidRPr="001E62EB">
        <w:rPr>
          <w:rFonts w:ascii="Arial" w:hAnsi="Arial" w:cs="Arial"/>
          <w:color w:val="000000" w:themeColor="text1"/>
        </w:rPr>
        <w:t xml:space="preserve">tiva estabelecer regras claras sobre a política municipal de gestão e proteção </w:t>
      </w:r>
      <w:r w:rsidR="001E62EB" w:rsidRPr="001E62EB">
        <w:rPr>
          <w:rFonts w:ascii="Arial" w:hAnsi="Arial" w:cs="Arial"/>
          <w:color w:val="000000" w:themeColor="text1"/>
        </w:rPr>
        <w:t>da população</w:t>
      </w:r>
      <w:r w:rsidR="00E23006" w:rsidRPr="001E62EB">
        <w:rPr>
          <w:rFonts w:ascii="Arial" w:hAnsi="Arial" w:cs="Arial"/>
          <w:color w:val="000000" w:themeColor="text1"/>
        </w:rPr>
        <w:t>. Por isso a colaboração de todos os vereadores para aprovação desse projeto de lei é de extrema importância.</w:t>
      </w:r>
    </w:p>
    <w:sectPr w:rsidR="003206F7" w:rsidRPr="001E62EB" w:rsidSect="00AC7692">
      <w:headerReference w:type="default" r:id="rId8"/>
      <w:pgSz w:w="11907" w:h="16840" w:code="9"/>
      <w:pgMar w:top="2268" w:right="851" w:bottom="1418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262" w:rsidRDefault="00D31262" w:rsidP="005C34F9">
      <w:pPr>
        <w:spacing w:after="0" w:line="240" w:lineRule="auto"/>
      </w:pPr>
      <w:r>
        <w:separator/>
      </w:r>
    </w:p>
  </w:endnote>
  <w:endnote w:type="continuationSeparator" w:id="0">
    <w:p w:rsidR="00D31262" w:rsidRDefault="00D31262" w:rsidP="005C3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262" w:rsidRDefault="00D31262" w:rsidP="005C34F9">
      <w:pPr>
        <w:spacing w:after="0" w:line="240" w:lineRule="auto"/>
      </w:pPr>
      <w:r>
        <w:separator/>
      </w:r>
    </w:p>
  </w:footnote>
  <w:footnote w:type="continuationSeparator" w:id="0">
    <w:p w:rsidR="00D31262" w:rsidRDefault="00D31262" w:rsidP="005C3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0" wp14:anchorId="0A02524E" wp14:editId="161C2A85">
          <wp:simplePos x="0" y="0"/>
          <wp:positionH relativeFrom="page">
            <wp:align>left</wp:align>
          </wp:positionH>
          <wp:positionV relativeFrom="paragraph">
            <wp:posOffset>43180</wp:posOffset>
          </wp:positionV>
          <wp:extent cx="1009650" cy="876300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E24B3">
      <w:rPr>
        <w:rFonts w:ascii="Arial" w:hAnsi="Arial" w:cs="Arial"/>
        <w:b/>
        <w:sz w:val="36"/>
        <w:szCs w:val="36"/>
      </w:rPr>
      <w:t>CAMARA MUNICIPAL DE TAPURAH</w:t>
    </w:r>
  </w:p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4"/>
        <w:szCs w:val="34"/>
      </w:rPr>
    </w:pPr>
    <w:r w:rsidRPr="002E24B3">
      <w:rPr>
        <w:rFonts w:ascii="Arial" w:hAnsi="Arial" w:cs="Arial"/>
        <w:b/>
        <w:sz w:val="34"/>
        <w:szCs w:val="34"/>
      </w:rPr>
      <w:t>ESTADO DE MATO GROSSO</w:t>
    </w:r>
  </w:p>
  <w:p w:rsidR="001E62EB" w:rsidRPr="002E24B3" w:rsidRDefault="001E62EB" w:rsidP="00711C6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2E24B3">
      <w:rPr>
        <w:rFonts w:ascii="Arial" w:hAnsi="Arial" w:cs="Arial"/>
        <w:b/>
        <w:sz w:val="32"/>
        <w:szCs w:val="32"/>
      </w:rPr>
      <w:t>CNPJ: 33.005.083.0001/60</w:t>
    </w:r>
  </w:p>
  <w:p w:rsidR="001E62EB" w:rsidRPr="00711C67" w:rsidRDefault="001E62EB" w:rsidP="001E62EB">
    <w:pPr>
      <w:pStyle w:val="Cabealho"/>
      <w:jc w:val="center"/>
      <w:rPr>
        <w:rFonts w:ascii="Arial" w:hAnsi="Arial" w:cs="Arial"/>
        <w:b/>
        <w:bCs/>
        <w:sz w:val="18"/>
        <w:szCs w:val="18"/>
      </w:rPr>
    </w:pPr>
    <w:r w:rsidRPr="00711C67">
      <w:rPr>
        <w:rFonts w:ascii="Arial" w:hAnsi="Arial" w:cs="Arial"/>
        <w:b/>
        <w:bCs/>
        <w:sz w:val="18"/>
        <w:szCs w:val="18"/>
      </w:rPr>
      <w:t>Avenida Paraná, 1.725 – CENTRO- CEP 78.573-000 – MUNICÍPIO DE TAPURAH – MT</w:t>
    </w:r>
  </w:p>
  <w:p w:rsidR="001E62EB" w:rsidRPr="00711C67" w:rsidRDefault="001E62EB" w:rsidP="001E62EB">
    <w:pPr>
      <w:pStyle w:val="Cabealho"/>
      <w:rPr>
        <w:rFonts w:ascii="Arial" w:hAnsi="Arial" w:cs="Arial"/>
        <w:b/>
        <w:bCs/>
        <w:sz w:val="18"/>
        <w:szCs w:val="18"/>
      </w:rPr>
    </w:pPr>
    <w:r w:rsidRPr="00711C67">
      <w:rPr>
        <w:rFonts w:ascii="Arial" w:hAnsi="Arial" w:cs="Arial"/>
        <w:b/>
        <w:bCs/>
        <w:sz w:val="18"/>
        <w:szCs w:val="18"/>
      </w:rPr>
      <w:t xml:space="preserve">                                                           TEL: (066) 3547-1341</w:t>
    </w:r>
  </w:p>
  <w:p w:rsidR="001E62EB" w:rsidRDefault="001E62E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A36AB7"/>
    <w:multiLevelType w:val="hybridMultilevel"/>
    <w:tmpl w:val="9A563E14"/>
    <w:lvl w:ilvl="0" w:tplc="DDEE71B4">
      <w:start w:val="1"/>
      <w:numFmt w:val="lowerLetter"/>
      <w:lvlText w:val="%1)"/>
      <w:lvlJc w:val="left"/>
      <w:pPr>
        <w:ind w:left="26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69CF6C81"/>
    <w:multiLevelType w:val="hybridMultilevel"/>
    <w:tmpl w:val="0B24CB92"/>
    <w:lvl w:ilvl="0" w:tplc="E8BC189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741E12"/>
    <w:multiLevelType w:val="hybridMultilevel"/>
    <w:tmpl w:val="61D6BB26"/>
    <w:lvl w:ilvl="0" w:tplc="27DEC828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F9"/>
    <w:rsid w:val="000607D3"/>
    <w:rsid w:val="00061CC7"/>
    <w:rsid w:val="00087E25"/>
    <w:rsid w:val="000A1A60"/>
    <w:rsid w:val="000A65E2"/>
    <w:rsid w:val="00104EA6"/>
    <w:rsid w:val="00114C7B"/>
    <w:rsid w:val="00130ACB"/>
    <w:rsid w:val="0013669F"/>
    <w:rsid w:val="001565D3"/>
    <w:rsid w:val="00180E9A"/>
    <w:rsid w:val="00186CAA"/>
    <w:rsid w:val="001B7EF7"/>
    <w:rsid w:val="001E3064"/>
    <w:rsid w:val="001E62EB"/>
    <w:rsid w:val="00203E96"/>
    <w:rsid w:val="0024535B"/>
    <w:rsid w:val="00260D7E"/>
    <w:rsid w:val="00281D9E"/>
    <w:rsid w:val="002A007B"/>
    <w:rsid w:val="002E7576"/>
    <w:rsid w:val="00306392"/>
    <w:rsid w:val="003206F7"/>
    <w:rsid w:val="003349B5"/>
    <w:rsid w:val="00344E4C"/>
    <w:rsid w:val="00387486"/>
    <w:rsid w:val="003A0FD5"/>
    <w:rsid w:val="003B659D"/>
    <w:rsid w:val="0040151F"/>
    <w:rsid w:val="00442EE2"/>
    <w:rsid w:val="00460AC9"/>
    <w:rsid w:val="004661B2"/>
    <w:rsid w:val="004C3539"/>
    <w:rsid w:val="004F0EE9"/>
    <w:rsid w:val="004F1390"/>
    <w:rsid w:val="00542B14"/>
    <w:rsid w:val="0055126E"/>
    <w:rsid w:val="005676F3"/>
    <w:rsid w:val="00570DF9"/>
    <w:rsid w:val="005B31F0"/>
    <w:rsid w:val="005C34F9"/>
    <w:rsid w:val="005D01F8"/>
    <w:rsid w:val="00656422"/>
    <w:rsid w:val="006625EB"/>
    <w:rsid w:val="00672FC6"/>
    <w:rsid w:val="006D33DC"/>
    <w:rsid w:val="006D5BAF"/>
    <w:rsid w:val="006E1F89"/>
    <w:rsid w:val="006E48A0"/>
    <w:rsid w:val="006E5E58"/>
    <w:rsid w:val="00711C67"/>
    <w:rsid w:val="00716B91"/>
    <w:rsid w:val="0076055C"/>
    <w:rsid w:val="00761262"/>
    <w:rsid w:val="007801D7"/>
    <w:rsid w:val="0078621E"/>
    <w:rsid w:val="00792F43"/>
    <w:rsid w:val="007A256E"/>
    <w:rsid w:val="007B0C1F"/>
    <w:rsid w:val="007C7359"/>
    <w:rsid w:val="007F500C"/>
    <w:rsid w:val="008138F0"/>
    <w:rsid w:val="00815910"/>
    <w:rsid w:val="00861514"/>
    <w:rsid w:val="00874C54"/>
    <w:rsid w:val="00882B4C"/>
    <w:rsid w:val="008F36A8"/>
    <w:rsid w:val="00905946"/>
    <w:rsid w:val="00915616"/>
    <w:rsid w:val="00940194"/>
    <w:rsid w:val="00991B53"/>
    <w:rsid w:val="009C038D"/>
    <w:rsid w:val="009D32B7"/>
    <w:rsid w:val="009E6CE1"/>
    <w:rsid w:val="009F1CFD"/>
    <w:rsid w:val="00A714FF"/>
    <w:rsid w:val="00A91838"/>
    <w:rsid w:val="00A92309"/>
    <w:rsid w:val="00AC3143"/>
    <w:rsid w:val="00AC7692"/>
    <w:rsid w:val="00AD7191"/>
    <w:rsid w:val="00AF26F2"/>
    <w:rsid w:val="00AF6744"/>
    <w:rsid w:val="00B079DC"/>
    <w:rsid w:val="00B07C0B"/>
    <w:rsid w:val="00B114A1"/>
    <w:rsid w:val="00B15347"/>
    <w:rsid w:val="00B21099"/>
    <w:rsid w:val="00B260D9"/>
    <w:rsid w:val="00B27391"/>
    <w:rsid w:val="00B93779"/>
    <w:rsid w:val="00BC28A9"/>
    <w:rsid w:val="00C12FA2"/>
    <w:rsid w:val="00C231B3"/>
    <w:rsid w:val="00C27BD6"/>
    <w:rsid w:val="00C3536B"/>
    <w:rsid w:val="00C55AAD"/>
    <w:rsid w:val="00C86920"/>
    <w:rsid w:val="00C92054"/>
    <w:rsid w:val="00CA5722"/>
    <w:rsid w:val="00D31262"/>
    <w:rsid w:val="00D37116"/>
    <w:rsid w:val="00D5529F"/>
    <w:rsid w:val="00D560E5"/>
    <w:rsid w:val="00D6006E"/>
    <w:rsid w:val="00D6021F"/>
    <w:rsid w:val="00D7193C"/>
    <w:rsid w:val="00D97508"/>
    <w:rsid w:val="00DA2E27"/>
    <w:rsid w:val="00DD0DE4"/>
    <w:rsid w:val="00DD120F"/>
    <w:rsid w:val="00E15CE1"/>
    <w:rsid w:val="00E23006"/>
    <w:rsid w:val="00E6239F"/>
    <w:rsid w:val="00E73658"/>
    <w:rsid w:val="00EB2939"/>
    <w:rsid w:val="00EE3F8E"/>
    <w:rsid w:val="00EF017B"/>
    <w:rsid w:val="00EF23F9"/>
    <w:rsid w:val="00F2398F"/>
    <w:rsid w:val="00F327C7"/>
    <w:rsid w:val="00F55025"/>
    <w:rsid w:val="00F75252"/>
    <w:rsid w:val="00F92C96"/>
    <w:rsid w:val="00F9366E"/>
    <w:rsid w:val="00F96FAE"/>
    <w:rsid w:val="00FC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A441067-1408-4E26-9CD1-0A3043BD0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1B3"/>
  </w:style>
  <w:style w:type="paragraph" w:styleId="Ttulo3">
    <w:name w:val="heading 3"/>
    <w:basedOn w:val="Normal"/>
    <w:next w:val="Normal"/>
    <w:link w:val="Ttulo3Char"/>
    <w:qFormat/>
    <w:rsid w:val="005C34F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C34F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5C34F9"/>
    <w:rPr>
      <w:rFonts w:ascii="Arial" w:eastAsia="Times New Roman" w:hAnsi="Arial" w:cs="Times New Roman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5C34F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34F9"/>
  </w:style>
  <w:style w:type="paragraph" w:styleId="Rodap">
    <w:name w:val="footer"/>
    <w:basedOn w:val="Normal"/>
    <w:link w:val="RodapChar"/>
    <w:uiPriority w:val="99"/>
    <w:unhideWhenUsed/>
    <w:rsid w:val="005C34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34F9"/>
  </w:style>
  <w:style w:type="paragraph" w:customStyle="1" w:styleId="Default">
    <w:name w:val="Default"/>
    <w:rsid w:val="005C34F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C3539"/>
    <w:rPr>
      <w:b/>
      <w:bCs/>
    </w:rPr>
  </w:style>
  <w:style w:type="character" w:styleId="Hyperlink">
    <w:name w:val="Hyperlink"/>
    <w:basedOn w:val="Fontepargpadro"/>
    <w:uiPriority w:val="99"/>
    <w:unhideWhenUsed/>
    <w:rsid w:val="004C353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07C0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07C0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07C0B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87E25"/>
    <w:pPr>
      <w:ind w:left="720"/>
      <w:contextualSpacing/>
    </w:pPr>
  </w:style>
  <w:style w:type="character" w:customStyle="1" w:styleId="label">
    <w:name w:val="label"/>
    <w:basedOn w:val="Fontepargpadro"/>
    <w:rsid w:val="00EE3F8E"/>
  </w:style>
  <w:style w:type="table" w:styleId="Tabelacomgrade">
    <w:name w:val="Table Grid"/>
    <w:basedOn w:val="Tabelanormal"/>
    <w:uiPriority w:val="59"/>
    <w:rsid w:val="00260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2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49864-5689-4FBA-BC69-54B57099E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825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Juridico</cp:lastModifiedBy>
  <cp:revision>8</cp:revision>
  <cp:lastPrinted>2018-03-06T12:09:00Z</cp:lastPrinted>
  <dcterms:created xsi:type="dcterms:W3CDTF">2022-05-19T19:37:00Z</dcterms:created>
  <dcterms:modified xsi:type="dcterms:W3CDTF">2022-10-06T18:15:00Z</dcterms:modified>
</cp:coreProperties>
</file>