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6"/>
        <w:jc w:val="center"/>
        <w:spacing w:before="0" w:beforeAutospacing="0" w:after="0" w:afterAutospacing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PROPOSTA </w:t>
      </w:r>
      <w:r>
        <w:rPr>
          <w:rFonts w:ascii="Arial" w:hAnsi="Arial" w:cs="Arial"/>
          <w:b/>
          <w:color w:val="000000"/>
        </w:rPr>
        <w:t xml:space="preserve">DE EMENDA À LEI ORGÂNICA Nº </w:t>
      </w:r>
      <w:r>
        <w:rPr>
          <w:rFonts w:ascii="Arial" w:hAnsi="Arial" w:cs="Arial"/>
          <w:b/>
          <w:color w:val="000000"/>
        </w:rPr>
        <w:t xml:space="preserve">.</w:t>
      </w:r>
      <w:r>
        <w:rPr>
          <w:rFonts w:ascii="Arial" w:hAnsi="Arial" w:cs="Arial"/>
          <w:b/>
          <w:color w:val="000000"/>
        </w:rPr>
      </w:r>
    </w:p>
    <w:p>
      <w:pPr>
        <w:pStyle w:val="706"/>
        <w:jc w:val="both"/>
        <w:spacing w:before="0" w:beforeAutospacing="0" w:after="0" w:afterAutospacing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</w:r>
      <w:r>
        <w:rPr>
          <w:rFonts w:ascii="Arial" w:hAnsi="Arial" w:cs="Arial"/>
          <w:b/>
          <w:color w:val="000000"/>
        </w:rPr>
      </w:r>
    </w:p>
    <w:p>
      <w:pPr>
        <w:pStyle w:val="706"/>
        <w:ind w:left="4956"/>
        <w:jc w:val="both"/>
        <w:spacing w:before="0" w:beforeAutospacing="0" w:after="0" w:afterAutospacing="0"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Altera o § 5º do Art. 100 e inclui o Art. 100-A n</w:t>
      </w:r>
      <w:r>
        <w:rPr>
          <w:rFonts w:ascii="Arial" w:hAnsi="Arial" w:cs="Arial"/>
          <w:b/>
          <w:color w:val="000000"/>
        </w:rPr>
        <w:t xml:space="preserve">a Lei Orgânica d</w:t>
      </w:r>
      <w:r>
        <w:rPr>
          <w:rFonts w:ascii="Arial" w:hAnsi="Arial" w:cs="Arial"/>
          <w:b/>
          <w:color w:val="000000"/>
        </w:rPr>
        <w:t xml:space="preserve">o Município de Canguçu</w:t>
      </w:r>
      <w:r>
        <w:rPr>
          <w:rFonts w:ascii="Arial" w:hAnsi="Arial" w:cs="Arial"/>
          <w:b/>
          <w:color w:val="000000"/>
        </w:rPr>
        <w:t xml:space="preserve"> e dá outras providências.</w:t>
      </w:r>
      <w:r>
        <w:rPr>
          <w:rFonts w:ascii="Arial" w:hAnsi="Arial" w:cs="Arial"/>
          <w:b/>
          <w:color w:val="000000"/>
        </w:rPr>
      </w:r>
    </w:p>
    <w:p>
      <w:pPr>
        <w:pStyle w:val="706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 xml:space="preserve">Art. 1º</w:t>
      </w:r>
      <w:r>
        <w:rPr>
          <w:rFonts w:ascii="Arial" w:hAnsi="Arial" w:cs="Arial"/>
          <w:color w:val="000000"/>
        </w:rPr>
        <w:t xml:space="preserve"> Fica alterada a redação </w:t>
      </w:r>
      <w:r>
        <w:rPr>
          <w:rFonts w:ascii="Arial" w:hAnsi="Arial" w:cs="Arial"/>
          <w:color w:val="000000"/>
        </w:rPr>
        <w:t xml:space="preserve">do </w:t>
      </w:r>
      <w:r>
        <w:rPr>
          <w:rFonts w:ascii="Arial" w:hAnsi="Arial" w:cs="Arial"/>
          <w:color w:val="000000"/>
        </w:rPr>
        <w:t xml:space="preserve">§ 5º do Art. 100</w:t>
      </w:r>
      <w:r>
        <w:rPr>
          <w:rFonts w:ascii="Arial" w:hAnsi="Arial" w:cs="Arial"/>
          <w:color w:val="000000"/>
        </w:rPr>
        <w:t xml:space="preserve"> da Lei Or</w:t>
      </w:r>
      <w:r>
        <w:rPr>
          <w:rFonts w:ascii="Arial" w:hAnsi="Arial" w:cs="Arial"/>
          <w:color w:val="000000"/>
        </w:rPr>
        <w:t xml:space="preserve">gânica do Município de Canguçu</w:t>
      </w:r>
      <w:r>
        <w:rPr>
          <w:rFonts w:ascii="Arial" w:hAnsi="Arial" w:cs="Arial"/>
          <w:color w:val="000000"/>
        </w:rPr>
        <w:t xml:space="preserve">, que passa a vigorar com a seguinte redação:</w:t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“§ 5º</w:t>
      </w:r>
      <w:r>
        <w:rPr>
          <w:rFonts w:ascii="Arial" w:hAnsi="Arial" w:cs="Arial"/>
          <w:b/>
          <w:color w:val="000000"/>
        </w:rPr>
        <w:t xml:space="preserve">. </w:t>
      </w:r>
      <w:r>
        <w:rPr>
          <w:rFonts w:ascii="Arial" w:hAnsi="Arial" w:cs="Arial"/>
          <w:b/>
          <w:color w:val="000000"/>
        </w:rPr>
        <w:t xml:space="preserve">Os projetos de lei de que trata este artigo: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I - serão enviados pelo Prefeito à Câmara Municipal nos seguintes prazos: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a) projeto de lei do p</w:t>
      </w:r>
      <w:r>
        <w:rPr>
          <w:rFonts w:ascii="Arial" w:hAnsi="Arial" w:cs="Arial"/>
          <w:b/>
          <w:color w:val="000000"/>
        </w:rPr>
        <w:t xml:space="preserve">lano plurianual, até 30 de setembro</w:t>
      </w:r>
      <w:r>
        <w:rPr>
          <w:rFonts w:ascii="Arial" w:hAnsi="Arial" w:cs="Arial"/>
          <w:b/>
          <w:color w:val="000000"/>
        </w:rPr>
        <w:t xml:space="preserve"> do primeiro ano do mandato;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b) projeto de lei das diretrizes </w:t>
      </w:r>
      <w:r>
        <w:rPr>
          <w:rFonts w:ascii="Arial" w:hAnsi="Arial" w:cs="Arial"/>
          <w:b/>
          <w:color w:val="000000"/>
        </w:rPr>
        <w:t xml:space="preserve">orçamentárias, anualmente até 30 de novembro</w:t>
      </w:r>
      <w:r>
        <w:rPr>
          <w:rFonts w:ascii="Arial" w:hAnsi="Arial" w:cs="Arial"/>
          <w:b/>
          <w:color w:val="000000"/>
        </w:rPr>
        <w:t xml:space="preserve">;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c) projeto de lei do orçamento, anualmente até 15 de novembro.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II - serão encaminhados, pela Câmara Municipal, para sanção do Prefeito, nos seguintes prazos: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a) projeto de lei d</w:t>
      </w:r>
      <w:r>
        <w:rPr>
          <w:rFonts w:ascii="Arial" w:hAnsi="Arial" w:cs="Arial"/>
          <w:b/>
          <w:color w:val="000000"/>
        </w:rPr>
        <w:t xml:space="preserve">o plano plurianual até 30 de outubro</w:t>
      </w:r>
      <w:r>
        <w:rPr>
          <w:rFonts w:ascii="Arial" w:hAnsi="Arial" w:cs="Arial"/>
          <w:b/>
          <w:color w:val="000000"/>
        </w:rPr>
        <w:t xml:space="preserve"> do primeiro ano do mandato;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b) projeto de lei das diretrizes</w:t>
      </w:r>
      <w:r>
        <w:rPr>
          <w:rFonts w:ascii="Arial" w:hAnsi="Arial" w:cs="Arial"/>
          <w:b/>
          <w:color w:val="000000"/>
        </w:rPr>
        <w:t xml:space="preserve"> orçamentárias anualmente até 15 de novembro</w:t>
      </w:r>
      <w:r>
        <w:rPr>
          <w:rFonts w:ascii="Arial" w:hAnsi="Arial" w:cs="Arial"/>
          <w:b/>
          <w:color w:val="000000"/>
        </w:rPr>
        <w:t xml:space="preserve">;</w:t>
      </w:r>
      <w:r>
        <w:rPr>
          <w:rFonts w:ascii="Arial" w:hAnsi="Arial" w:cs="Arial"/>
          <w:b/>
          <w:color w:val="000000"/>
        </w:rPr>
      </w:r>
    </w:p>
    <w:p>
      <w:pPr>
        <w:pStyle w:val="706"/>
        <w:ind w:firstLine="708"/>
        <w:jc w:val="both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c) projeto de le</w:t>
      </w:r>
      <w:r>
        <w:rPr>
          <w:rFonts w:ascii="Arial" w:hAnsi="Arial" w:cs="Arial"/>
          <w:b/>
          <w:color w:val="000000"/>
        </w:rPr>
        <w:t xml:space="preserve">i do orçamento anualmente até 31</w:t>
      </w:r>
      <w:r>
        <w:rPr>
          <w:rFonts w:ascii="Arial" w:hAnsi="Arial" w:cs="Arial"/>
          <w:b/>
          <w:color w:val="000000"/>
        </w:rPr>
        <w:t xml:space="preserve"> de dezembro.</w:t>
      </w:r>
      <w:r>
        <w:rPr>
          <w:rFonts w:ascii="Arial" w:hAnsi="Arial" w:cs="Arial"/>
          <w:b/>
          <w:color w:val="000000"/>
        </w:rPr>
        <w:t xml:space="preserve">.</w:t>
      </w:r>
      <w:r>
        <w:rPr>
          <w:rFonts w:ascii="Arial" w:hAnsi="Arial" w:cs="Arial"/>
          <w:b/>
          <w:color w:val="000000"/>
        </w:rPr>
        <w:t xml:space="preserve">”</w:t>
      </w:r>
      <w:r>
        <w:rPr>
          <w:rFonts w:ascii="Arial" w:hAnsi="Arial" w:cs="Arial"/>
          <w:b/>
          <w:color w:val="000000"/>
        </w:rPr>
      </w:r>
    </w:p>
    <w:p>
      <w:pPr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Art. 2º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Fica incluído art. 100</w:t>
      </w:r>
      <w:r>
        <w:rPr>
          <w:rFonts w:ascii="Arial" w:hAnsi="Arial" w:cs="Arial"/>
          <w:bCs/>
          <w:sz w:val="24"/>
          <w:szCs w:val="24"/>
        </w:rPr>
        <w:t xml:space="preserve">-A na Lei Org</w:t>
      </w:r>
      <w:r>
        <w:rPr>
          <w:rFonts w:ascii="Arial" w:hAnsi="Arial" w:cs="Arial"/>
          <w:bCs/>
          <w:sz w:val="24"/>
          <w:szCs w:val="24"/>
        </w:rPr>
        <w:t xml:space="preserve">ânica do Município de Canguçu</w:t>
      </w:r>
      <w:r>
        <w:rPr>
          <w:rFonts w:ascii="Arial" w:hAnsi="Arial" w:cs="Arial"/>
          <w:bCs/>
          <w:sz w:val="24"/>
          <w:szCs w:val="24"/>
        </w:rPr>
        <w:t xml:space="preserve">, conforme segue:</w:t>
      </w:r>
      <w:r>
        <w:rPr>
          <w:rFonts w:ascii="Arial" w:hAnsi="Arial" w:cs="Arial"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</w:r>
      <w:r>
        <w:rPr>
          <w:rFonts w:ascii="Arial" w:hAnsi="Arial" w:cs="Arial"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“</w:t>
      </w:r>
      <w:r>
        <w:rPr>
          <w:rFonts w:ascii="Arial" w:hAnsi="Arial" w:cs="Arial"/>
          <w:b/>
          <w:bCs/>
          <w:sz w:val="24"/>
          <w:szCs w:val="24"/>
        </w:rPr>
        <w:t xml:space="preserve">Art. 100-A. </w:t>
      </w:r>
      <w:r>
        <w:rPr>
          <w:rFonts w:ascii="Arial" w:hAnsi="Arial" w:cs="Arial"/>
          <w:b/>
          <w:bCs/>
          <w:sz w:val="24"/>
          <w:szCs w:val="24"/>
        </w:rPr>
        <w:t xml:space="preserve">As</w:t>
      </w:r>
      <w:r>
        <w:rPr>
          <w:rFonts w:ascii="Arial" w:hAnsi="Arial" w:cs="Arial"/>
          <w:b/>
          <w:bCs/>
          <w:sz w:val="24"/>
          <w:szCs w:val="24"/>
        </w:rPr>
        <w:t xml:space="preserve"> emendas individuais ao projeto de lei orçamentária serão aprovadas no limite de 1,2% da receita corrente líquida prevista no projeto encaminhado pelo Poder Executivo, sendo que a metade deste percentual será destinada a ações e serviços públicos de saúde.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§1º A execução do montante destina</w:t>
      </w:r>
      <w:r>
        <w:rPr>
          <w:rFonts w:ascii="Arial" w:hAnsi="Arial" w:cs="Arial"/>
          <w:b/>
          <w:bCs/>
          <w:sz w:val="24"/>
          <w:szCs w:val="24"/>
        </w:rPr>
        <w:t xml:space="preserve">do a ações e serviços públicos de saúde previsto no caput deste artigo, inclusive custeio, será computada para fins do cumprimento do inciso III do § 2º do art. 198 da Constituição Federal, vedada a destinação para pagamento de pessoal ou encargos sociais.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§2º É obrigatória a execução orçamentária e financeira das programações a que se refere o caput </w:t>
      </w:r>
      <w:r>
        <w:rPr>
          <w:rFonts w:ascii="Arial" w:hAnsi="Arial" w:cs="Arial"/>
          <w:b/>
          <w:bCs/>
          <w:sz w:val="24"/>
          <w:szCs w:val="24"/>
        </w:rPr>
        <w:t xml:space="preserve">deste artigo, em montante correspondente a 1,2% da receita corrente líquida realizada no exercício anterior, conforme os critérios para a execução equitativa da programação definidos na lei complementar prevista no § 9º do art. 165 da Constituição Federal.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§3º A garantia de execução de que trata o § 2º deste artigo aplica-se também às programações incluídas por todas as emendas de iniciativa de bancada de parlamentares, no montante de até 1% da receita corrente líquida realizada no exercício anterior.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§4º As programações orçamentárias previstas nos §§ 2º e 3º deste artigo não serão de execução obrigatória nos casos dos impedimentos de ordem técnica.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§5º Para fins de cumprimento do disposto nos §§ 2º e 3º deste artigo, </w:t>
      </w:r>
      <w:r>
        <w:rPr>
          <w:rFonts w:ascii="Arial" w:hAnsi="Arial" w:cs="Arial"/>
          <w:b/>
          <w:bCs/>
          <w:sz w:val="24"/>
          <w:szCs w:val="24"/>
        </w:rPr>
        <w:t xml:space="preserve">os órgãos de execução deverão observar, nos termos da lei de diretrizes orçamentárias, cronograma para análise e verificação de eventuais impedimentos das programações e demais procedimentos necessários à viabilização da execução dos respectivos montantes.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§6º Os restos a pagar provenientes das programações orçamentárias previstas nos §§ 2º e 3º poderão ser considerados para fins de cumpri</w:t>
      </w:r>
      <w:r>
        <w:rPr>
          <w:rFonts w:ascii="Arial" w:hAnsi="Arial" w:cs="Arial"/>
          <w:b/>
          <w:bCs/>
          <w:sz w:val="24"/>
          <w:szCs w:val="24"/>
        </w:rPr>
        <w:t xml:space="preserve">mento da execução financeira até o limite de 0,6% da receita corrente líquida realizada no exercício anterior, para as programações das emendas individuais, e até o limite de 0,5%, para as programações das emendas de iniciativa de bancada de parlamentares.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§7º Se for verificado que a reestimativa da receita e da despesa poderá resultar no não cumprim</w:t>
      </w:r>
      <w:r>
        <w:rPr>
          <w:rFonts w:ascii="Arial" w:hAnsi="Arial" w:cs="Arial"/>
          <w:b/>
          <w:bCs/>
          <w:sz w:val="24"/>
          <w:szCs w:val="24"/>
        </w:rPr>
        <w:t xml:space="preserve">ento da meta de resultado fiscal estabelecida na lei de diretrizes orçamentárias, os montantes previstos nos §§ 2º e 3º deste artigo poderão ser reduzidos em até a mesma proporção da limitação incidente sobre o conjunto das demais despesas discricionárias.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§8º Considera-se equitativa a execução das programações de caráter obrigatório que observe critérios objetivos e imparciais e que atenda de forma igualitária e impessoal às emendas apresentadas, independentemente da autoria.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§9º As programações de que trata o § 3º deste</w:t>
      </w:r>
      <w:r>
        <w:rPr>
          <w:rFonts w:ascii="Arial" w:hAnsi="Arial" w:cs="Arial"/>
          <w:b/>
          <w:bCs/>
          <w:sz w:val="24"/>
          <w:szCs w:val="24"/>
        </w:rPr>
        <w:t xml:space="preserve"> artigo, quando versarem sobre o início de investimentos com duração de mais de um exercício financeiro ou cuja execução já tenha sido iniciada, deverão ser objeto de emenda pela mesma bancada, a cada exercício, até a conclusão da obra ou do empreendimento</w:t>
      </w:r>
      <w:r>
        <w:rPr>
          <w:rFonts w:ascii="Arial" w:hAnsi="Arial" w:cs="Arial"/>
          <w:bCs/>
          <w:sz w:val="24"/>
          <w:szCs w:val="24"/>
        </w:rPr>
        <w:t xml:space="preserve">.”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Art. 3º Fica revogada a Lei </w:t>
      </w:r>
      <w:r>
        <w:rPr>
          <w:rFonts w:ascii="Arial" w:hAnsi="Arial" w:cs="Arial"/>
          <w:color w:val="000000"/>
        </w:rPr>
        <w:t xml:space="preserve">nº </w:t>
      </w:r>
      <w:r>
        <w:rPr>
          <w:rFonts w:ascii="Arial" w:hAnsi="Arial" w:cs="Arial"/>
          <w:color w:val="000000"/>
        </w:rPr>
        <w:t xml:space="preserve">1.720, de 25 de junho de 1997</w:t>
      </w:r>
      <w:r>
        <w:rPr>
          <w:rFonts w:ascii="Arial" w:hAnsi="Arial" w:cs="Arial"/>
          <w:color w:val="000000"/>
        </w:rPr>
        <w:t xml:space="preserve">.</w:t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Art. 4º </w:t>
      </w:r>
      <w:r>
        <w:rPr>
          <w:rFonts w:ascii="Arial" w:hAnsi="Arial" w:cs="Arial"/>
          <w:color w:val="000000"/>
        </w:rPr>
        <w:t xml:space="preserve">Esta Emenda à Lei Orgânica entra em vigor na data de sua publicação.</w:t>
      </w:r>
      <w:r>
        <w:rPr>
          <w:rFonts w:ascii="Arial" w:hAnsi="Arial" w:cs="Arial"/>
          <w:color w:val="000000"/>
        </w:rPr>
      </w:r>
    </w:p>
    <w:p>
      <w:pPr>
        <w:pStyle w:val="706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Canguçu, 25 de agosto de 2023</w:t>
      </w:r>
      <w:r>
        <w:rPr>
          <w:rFonts w:ascii="Arial" w:hAnsi="Arial" w:cs="Arial"/>
          <w:color w:val="000000"/>
        </w:rPr>
        <w:t xml:space="preserve">.</w:t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Ver. Marcelo Maron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Ver. Arion Braga  </w:t>
      </w:r>
      <w:r/>
      <w:r>
        <w:rPr>
          <w:rFonts w:ascii="Arial" w:hAnsi="Arial" w:cs="Arial"/>
          <w:sz w:val="24"/>
          <w:szCs w:val="24"/>
        </w:rPr>
        <w:t xml:space="preserve">             Ver. Carlos Eduardo Martins     </w:t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</w:r>
      <w:r/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Ver. Cesar Madrid</w:t>
      </w:r>
      <w:r/>
      <w:r>
        <w:rPr>
          <w:rFonts w:ascii="Arial" w:hAnsi="Arial" w:cs="Arial"/>
          <w:sz w:val="24"/>
          <w:szCs w:val="24"/>
        </w:rPr>
        <w:t xml:space="preserve">                Ver. Diego Wolter                    Ver. Emerson Machado     </w:t>
      </w:r>
      <w:r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Ver. Francisco Vilela</w:t>
      </w:r>
      <w:r>
        <w:rPr>
          <w:rFonts w:ascii="Arial" w:hAnsi="Arial" w:cs="Arial"/>
          <w:sz w:val="24"/>
          <w:szCs w:val="24"/>
        </w:rPr>
        <w:t xml:space="preserve">            Ver. Iasmin Rutz                        Ver. Ildo Venzke</w:t>
      </w:r>
      <w:r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Ver. Jardel de Oliveira</w:t>
      </w:r>
      <w:r>
        <w:rPr>
          <w:rFonts w:ascii="Arial" w:hAnsi="Arial" w:cs="Arial"/>
          <w:sz w:val="24"/>
          <w:szCs w:val="24"/>
        </w:rPr>
        <w:t xml:space="preserve">              Ver. Leandro Ehlert            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Ver. Oraci Teixeira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Ver. Paulo Bauer</w:t>
      </w:r>
      <w:r>
        <w:rPr>
          <w:rFonts w:ascii="Arial" w:hAnsi="Arial" w:cs="Arial"/>
          <w:sz w:val="24"/>
          <w:szCs w:val="24"/>
        </w:rPr>
        <w:t xml:space="preserve">                      </w:t>
      </w:r>
      <w:r>
        <w:rPr>
          <w:rFonts w:ascii="Arial" w:hAnsi="Arial" w:cs="Arial"/>
          <w:sz w:val="24"/>
          <w:szCs w:val="24"/>
        </w:rPr>
        <w:t xml:space="preserve"> Ver. Silvio Neutzling              Ver. Ubiratan Rodrigues</w:t>
      </w:r>
      <w:r>
        <w:rPr>
          <w:rFonts w:ascii="Arial" w:hAnsi="Arial" w:cs="Arial"/>
          <w:sz w:val="24"/>
          <w:szCs w:val="24"/>
        </w:rPr>
      </w:r>
    </w:p>
    <w:p>
      <w:pPr>
        <w:pStyle w:val="706"/>
        <w:ind w:firstLine="708"/>
        <w:jc w:val="both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pStyle w:val="706"/>
        <w:jc w:val="both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</w:r>
      <w:r>
        <w:rPr>
          <w:rFonts w:ascii="Arial" w:hAnsi="Arial" w:cs="Arial"/>
          <w:color w:val="000000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r/>
      <w:r/>
    </w:p>
    <w:sectPr>
      <w:headerReference w:type="default" r:id="rId8"/>
      <w:footerReference w:type="default" r:id="rId9"/>
      <w:footnotePr/>
      <w:endnotePr/>
      <w:type w:val="nextPage"/>
      <w:pgSz w:w="11907" w:h="16840" w:orient="portrait"/>
      <w:pgMar w:top="1134" w:right="1134" w:bottom="1134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4"/>
      <w:jc w:val="center"/>
    </w:pPr>
    <w:r>
      <w:rPr>
        <w:b/>
      </w:rPr>
      <w:t xml:space="preserve">“DOE SANGUE, DOE ÓRGÃOS, SALVE UMA VIDA!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/>
  </w:p>
  <w:p>
    <w:pPr>
      <w:jc w:val="center"/>
      <w:rPr>
        <w:sz w:val="22"/>
      </w:rPr>
    </w:pPr>
    <w:r>
      <w:rPr>
        <w:sz w:val="22"/>
      </w:rPr>
      <w:t xml:space="preserve">CÂMARA MUNICIPAL DE CANGUÇU</w:t>
    </w:r>
    <w:r>
      <w:rPr>
        <w:sz w:val="22"/>
      </w:rPr>
    </w:r>
  </w:p>
  <w:p>
    <w:pPr>
      <w:jc w:val="center"/>
    </w:pPr>
    <w:r>
      <w:t xml:space="preserve">ESTADO DO RIO GRANDE DO SUL</w:t>
    </w:r>
    <w:r/>
  </w:p>
  <w:p>
    <w:pPr>
      <w:jc w:val="center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700"/>
    <w:next w:val="700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70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00"/>
    <w:next w:val="700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0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00"/>
    <w:next w:val="700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0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00"/>
    <w:next w:val="700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0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00"/>
    <w:next w:val="700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0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00"/>
    <w:next w:val="700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0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0"/>
    <w:next w:val="700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0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0"/>
    <w:next w:val="700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0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0"/>
    <w:next w:val="700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0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700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00"/>
    <w:next w:val="700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01"/>
    <w:link w:val="34"/>
    <w:uiPriority w:val="10"/>
    <w:rPr>
      <w:sz w:val="48"/>
      <w:szCs w:val="48"/>
    </w:rPr>
  </w:style>
  <w:style w:type="paragraph" w:styleId="36">
    <w:name w:val="Subtitle"/>
    <w:basedOn w:val="700"/>
    <w:next w:val="700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01"/>
    <w:link w:val="36"/>
    <w:uiPriority w:val="11"/>
    <w:rPr>
      <w:sz w:val="24"/>
      <w:szCs w:val="24"/>
    </w:rPr>
  </w:style>
  <w:style w:type="paragraph" w:styleId="38">
    <w:name w:val="Quote"/>
    <w:basedOn w:val="700"/>
    <w:next w:val="700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0"/>
    <w:next w:val="700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700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701"/>
    <w:link w:val="42"/>
    <w:uiPriority w:val="99"/>
  </w:style>
  <w:style w:type="character" w:styleId="45">
    <w:name w:val="Footer Char"/>
    <w:basedOn w:val="701"/>
    <w:link w:val="704"/>
    <w:uiPriority w:val="99"/>
  </w:style>
  <w:style w:type="paragraph" w:styleId="46">
    <w:name w:val="Caption"/>
    <w:basedOn w:val="700"/>
    <w:next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04"/>
    <w:uiPriority w:val="99"/>
  </w:style>
  <w:style w:type="table" w:styleId="48">
    <w:name w:val="Table Grid"/>
    <w:basedOn w:val="7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700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01"/>
    <w:uiPriority w:val="99"/>
    <w:unhideWhenUsed/>
    <w:rPr>
      <w:vertAlign w:val="superscript"/>
    </w:rPr>
  </w:style>
  <w:style w:type="paragraph" w:styleId="178">
    <w:name w:val="endnote text"/>
    <w:basedOn w:val="700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01"/>
    <w:uiPriority w:val="99"/>
    <w:semiHidden/>
    <w:unhideWhenUsed/>
    <w:rPr>
      <w:vertAlign w:val="superscript"/>
    </w:rPr>
  </w:style>
  <w:style w:type="paragraph" w:styleId="181">
    <w:name w:val="toc 1"/>
    <w:basedOn w:val="700"/>
    <w:next w:val="700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0"/>
    <w:next w:val="700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0"/>
    <w:next w:val="700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0"/>
    <w:next w:val="700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0"/>
    <w:next w:val="700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0"/>
    <w:next w:val="700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0"/>
    <w:next w:val="700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0"/>
    <w:next w:val="700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0"/>
    <w:next w:val="700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0"/>
    <w:next w:val="700"/>
    <w:uiPriority w:val="99"/>
    <w:unhideWhenUsed/>
    <w:pPr>
      <w:spacing w:after="0" w:afterAutospacing="0"/>
    </w:pPr>
  </w:style>
  <w:style w:type="paragraph" w:styleId="70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701" w:default="1">
    <w:name w:val="Default Paragraph Font"/>
    <w:uiPriority w:val="1"/>
    <w:semiHidden/>
    <w:unhideWhenUsed/>
  </w:style>
  <w:style w:type="table" w:styleId="7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3" w:default="1">
    <w:name w:val="No List"/>
    <w:uiPriority w:val="99"/>
    <w:semiHidden/>
    <w:unhideWhenUsed/>
  </w:style>
  <w:style w:type="paragraph" w:styleId="704">
    <w:name w:val="Footer"/>
    <w:basedOn w:val="700"/>
    <w:link w:val="705"/>
    <w:semiHidden/>
    <w:pPr>
      <w:tabs>
        <w:tab w:val="center" w:pos="4320" w:leader="none"/>
        <w:tab w:val="right" w:pos="8640" w:leader="none"/>
      </w:tabs>
    </w:pPr>
  </w:style>
  <w:style w:type="character" w:styleId="705" w:customStyle="1">
    <w:name w:val="Rodapé Char"/>
    <w:basedOn w:val="701"/>
    <w:link w:val="704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06">
    <w:name w:val="Normal (Web)"/>
    <w:basedOn w:val="700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707">
    <w:name w:val="Balloon Text"/>
    <w:basedOn w:val="700"/>
    <w:link w:val="708"/>
    <w:uiPriority w:val="99"/>
    <w:semiHidden/>
    <w:unhideWhenUsed/>
    <w:rPr>
      <w:rFonts w:ascii="Tahoma" w:hAnsi="Tahoma" w:cs="Tahoma"/>
      <w:sz w:val="16"/>
      <w:szCs w:val="16"/>
    </w:rPr>
  </w:style>
  <w:style w:type="character" w:styleId="708" w:customStyle="1">
    <w:name w:val="Texto de balão Char"/>
    <w:basedOn w:val="701"/>
    <w:link w:val="707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BCFBD6-7CC7-4E19-A978-64CC9EBB7C7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3</cp:revision>
  <dcterms:created xsi:type="dcterms:W3CDTF">2023-08-25T16:19:00Z</dcterms:created>
  <dcterms:modified xsi:type="dcterms:W3CDTF">2023-08-25T16:29:29Z</dcterms:modified>
</cp:coreProperties>
</file>