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tabs>
          <w:tab w:val="left" w:leader="none" w:pos="4253"/>
        </w:tabs>
        <w:spacing w:before="24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PROJETO DE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RESOLUÇÃO Nº _________/2026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tabs>
          <w:tab w:val="left" w:leader="none" w:pos="4253"/>
        </w:tabs>
        <w:spacing w:before="24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tabs>
          <w:tab w:val="left" w:leader="none" w:pos="4253"/>
        </w:tabs>
        <w:spacing w:before="240" w:line="240" w:lineRule="auto"/>
        <w:ind w:left="3969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highlight w:val="none"/>
        </w:rPr>
        <w:t xml:space="preserve">Autoria: Mesa Diretora</w:t>
      </w: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r>
    </w:p>
    <w:p>
      <w:pPr>
        <w:pBdr/>
        <w:tabs>
          <w:tab w:val="left" w:leader="none" w:pos="4253"/>
        </w:tabs>
        <w:spacing w:before="240" w:line="240" w:lineRule="auto"/>
        <w:ind w:left="3969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 xml:space="preserve">Dispõe sobre a implementação da Lei Federal nº 14.129/2021, que trata do Governo Digital, no âmbito da Câmara Municipal de Macaé, institui o Programa Governo Digital do Legislativo e dá outras providências.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</w:rPr>
      </w:r>
    </w:p>
    <w:p>
      <w:pPr>
        <w:pBdr/>
        <w:tabs>
          <w:tab w:val="left" w:leader="none" w:pos="4253"/>
        </w:tabs>
        <w:spacing w:before="240" w:line="240" w:lineRule="auto"/>
        <w:ind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Bdr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CÂMARA MUNICIPAL DE MACAÉ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no exercício de suas atribuições legais, aprovou e eu, na qualidade de Presidente, promulgo a seguinte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Resolução: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Bdr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Bdr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Art. 1º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Fica instituído, no âmbito da Câmara Municipal de Macaé, o Programa Governo Digital do Legislativo, observadas as diretrizes previstas na Lei Federal nº 14.129/2021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Art. 2º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O Programa Governo Digital do Legislativo observará as seguintes diretrizes: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I – manutenção e aprimoramento contínuo dos serviços digitais disponíveis;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II – ampliação da oferta de serviços digitais ao cidadão;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III – aproximação entre o Poder Legislativo Municipal e a sociedade;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IV – utilização da tecnologia e da inovação como instrumentos de promoção da inclusão e redução das desigualdades;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V – melhoria contínua dos processos internos e das ferramentas de atendimento ao cidadão;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VI – proteção de dados pessoais, observadas as disposições da Lei Federal nº 13.709/2018;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VII – transparência pública e fortalecimento do acesso à informação;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Bdr/>
        <w:tabs>
          <w:tab w:val="left" w:leader="none" w:pos="4253"/>
        </w:tabs>
        <w:spacing w:after="0" w:line="240" w:lineRule="auto"/>
        <w:ind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VIII – promoção da acessibilidade digital, nos termos da legislação aplicável.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84"/>
        <w:pBdr/>
        <w:spacing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pBdr/>
        <w:spacing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Art. 3º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O órgão responsável pela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Tecnologia da Informação, em conjunto com comissões, grupos de trabalho ou setores eventualmente designados pela Presidência, coordenará os estudos e ações voltados à ampliação e ao aperfeiçoamento dos serviços digitais públicos no âmbi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to do Poder Legislativo Municipal.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</w:p>
    <w:p>
      <w:pPr>
        <w:pStyle w:val="884"/>
        <w:pBdr/>
        <w:spacing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r>
    </w:p>
    <w:p>
      <w:pPr>
        <w:pStyle w:val="884"/>
        <w:pBdr/>
        <w:spacing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Art. 4º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O Poder Legislativo poderá criar instrumentos para desenvolvimento de capacidades individuais e organizacionais necessárias à transformação digital, com o objetivo de: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 – criar, desenvolver e avaliar estratégias e conteúdos voltados à capacitação dos servidores da Câmara Municipal para a transformação digital;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 – pesquisar, desenvolver e testar métodos, ferramentas e iniciativas que promovam a colaboração entre servidores e cidadãos na construção de soluções digitais voltadas ao interesse público.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pBdr/>
        <w:spacing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Art. 5º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O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cadastro de usuários nos sistemas digitais e a prestação dos serviços públicos deverão ocorrer, preferencialmente, por meio eletrônico, asseguradas a autenticidade, a integridade, a confiabilidade, a segurança e a acessibilidade das informações, observada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s as disposições da Lei Federal nº 14.129/2021.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r>
    </w:p>
    <w:p>
      <w:pPr>
        <w:pStyle w:val="884"/>
        <w:pBdr/>
        <w:spacing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pt-BR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pBdr/>
        <w:spacing/>
        <w:ind w:firstLine="708"/>
        <w:jc w:val="both"/>
        <w:rPr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Art. 6º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Compete ao Poder Legislativo Municipal e aos responsáveis pela prestação digital de serviços públicos: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708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 – manter atualizadas as informações institucionais, as comunicações de interesse público e a Carta de Serviços ao Usuário;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708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 – monitorar e implementar ações de melhoria dos serviços prestados, com base nos resultados de avaliação de satisfação dos usuários;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708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III – evitar a duplicidade de registros de dados, ressalvadas as hipóteses justificadas por razões de desempenho, segurança ou necessidade administrativa;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708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IV – disponibilizar, sempre que possível, meios eletrônicos para formulação, acompanhamento e resposta às solicitações dos cidadãos;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708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Style w:val="884"/>
        <w:pBdr/>
        <w:spacing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V – observar as diretrizes de transparência pública, proteção de dados pessoais e segurança da informação.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before="2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Art.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7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pt-BR"/>
        </w:rPr>
        <w:t xml:space="preserve">As plataformas digitais utilizadas pelo Poder Legislativo Municipal para oferta e prestação de serviços públicos deverão conter, sempre que tecnicamente viável, as seguintes funcionalidades: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 – ferramenta digital de solicitação de atendimento e acompanhamento da prestação de serviços públicos, com geração de protocolo eletrônico;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 – disponibilização de informações relativas ao planejamento estratégico institucional;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III – envio de notificações automáticas aos usuários acerca do andamento das solicitações, prazos, pendências e conclusão dos serviços;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IV – funcionalidade que assegure ao usuário acesso às informações relativas ao tratamento de seus dados pessoais, observadas as disposições da Lei Federal nº 13.709/2018 e da Lei Federal nº 12.527/2011;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V – mecanismos de acessibilidade digital destinados às pessoas com deficiência ou mobilidade reduzida.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Parágrafo único.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As plataformas digitais deverão observar as disposições da Lei Federal nº 13.709/2018, da Lei Federal nº 12.527/2011 e da Lei Municipal nº 5.436/2025, que disciplina a proteção de dados pessoais no âmbito do Poder Legislativo Municipal.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Autospacing="1" w:before="240" w:beforeAutospacing="1" w:line="240" w:lineRule="auto"/>
        <w:ind w:firstLine="708"/>
        <w:jc w:val="both"/>
        <w:rPr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Art. 8º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São assegurados aos usuários dos serviços digitais públicos: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 w:firstLine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 – gratuidade de acesso às plataformas digitais do Poder Legislativo Municipal;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 w:firstLine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 – atendimento padronizado, observado o disposto na Carta de Serviços ao Usuário;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 w:firstLine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III – recebimento de protocolo físico ou eletrônico para cada solicitação apresentada;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 w:firstLine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IV – acesso às informações públicas, observadas as restrições legais aplicáveis;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 w:firstLine="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V – proteção de seus dados pessoais, na forma da legislação vigente.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</w:p>
    <w:p>
      <w:pPr>
        <w:pBdr/>
        <w:spacing w:afterAutospacing="1" w:before="240" w:before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Art. 9º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O usuário poderá apresentar reclamações, denúncias, elogios, sugestões ou demais manifestações relativas à prestação de serviços públicos digitais perante o Poder Legislativo Municipal.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Autospacing="1" w:before="240" w:before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Parágrafo único.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As manifestações poderão ser encaminhadas à Ouvidoria ou ao Serviço de Informações ao Cidadão – e-SIC, por meio eletrônico ou presencial.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Autospacing="1" w:before="240" w:before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t-BR"/>
        </w:rPr>
        <w:t xml:space="preserve">Art. 10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. Os serviços digitais públicos disponíveis e em operação,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sem prejuízo de outros que venham a ser implementados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, são: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 – sítio eletrônico oficial da Câmara Municipal;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 – Portal da Transparência;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III – sistema de consulta à legislação municipal;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IV – transmissões ao vivo das sessões legislativas;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V – canais oficiais de comunicação institucional, inclusive correio eletrônico e redes sociais;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VI – sistema de Ouvidoria;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VII – Sistema Eletrônico do Serviço de Informações ao Cidadão – e-SIC;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VIII – acesso às informações relativas ao Radar da Transparência Pública;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IX – canais institucionais de contato;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X – acesso às atas das sessões legislativas;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XI – seção de perguntas frequentes – FAQ;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XII – relatórios estatísticos anuais relativos aos pedidos de acesso à informação;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XIII – relatórios anuais de gestão legislativa;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XIV – acesso eletrônico ao processo legislativo;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Autospacing="1" w:before="240" w:beforeAutospacing="1"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XV – consulta a processos licitatórios, editais, informações de recursos humanos e dados contábeis.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Autospacing="1" w:before="240" w:before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t-BR"/>
        </w:rPr>
        <w:t xml:space="preserve">Art. 11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Os gestores de bases de dados e os responsáveis pelo tratamento de dados pessoais deverão observar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afterAutospacing="1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 – a interoperabilidade de sistemas e bases de dados, respeitadas as restrições legais, os requisitos de segurança da informação, as limitações tecnológicas e a relação custo-benefício;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="0" w:afterAutospacing="1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 – a proteção de dados pessoais, observadas as disposições da Lei Federal nº 13.709/2018;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="0" w:afterAutospacing="1" w:beforeAutospacing="1" w:line="240" w:lineRule="auto"/>
        <w:ind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III – o cumprimento das normas relativas ao acesso à informação e à transparência pública;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</w:r>
      <w:r/>
    </w:p>
    <w:p>
      <w:pPr>
        <w:pBdr/>
        <w:spacing w:after="0" w:afterAutospacing="1" w:beforeAutospacing="1"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IV – a adoção de medidas voltadas à integridade, rastreabilidade e segurança das i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nformações digitais.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afterAutospacing="1" w:beforeAutospacing="1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Art. 12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A implementação das disposições previstas nesta Resolução poderá ocorrer de forma gradual, conforme a disponibilidade orçamentária, administrativa e tecnológica do Poder Legislativo Municipal.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85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708" w:left="0"/>
        <w:jc w:val="both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Art. 13.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As despesas decorrentes da execução desta Resolução correrão à conta das dotações orçamentárias próprias, suplementadas, se necessário.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after="0" w:afterAutospacing="1" w:before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Art. 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4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t-BR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Esta Resolução entra em vigor na data de sua publicação.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Sala das Sessões, 11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de maio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de 2026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Alan Mansur Pereira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Luciano Diniz Caldas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Primeiro Vice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Nilton Cesar Pereira Moreira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Segundo Vice-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Leandra Lopes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Primeira Secretária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Jose Geraldo Jardim Filho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Segundo Secretário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Style w:val="9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JUSTIFICATIVA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</w:p>
    <w:p>
      <w:pPr>
        <w:pStyle w:val="9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Submetemos à apreciação desta Casa Legislativa o presente Projeto de Resolução que dispõe sobre a implementação da Lei Federal nº 14.129/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2021 no âmbito da Câmara Municipal de Macaé, instituindo o Programa Governo Digital do Legislativo.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 proposta tem por finalidade promover a modernização administrativa, o fortalecimento da transparência pública, a ampliação do acesso do cidadão aos serviços legislativos digitais e o aperfeiçoamento dos mecanismos de governança, integridade, eficiência 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proteção de dados pessoais no âmbito do Poder Legislativo Municipal.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 iniciativa encontra fundamento nos princípios constitucionais da administração pública previstos no art. 37 da Constituição Federal, especialmente os princípios da publicidade, eficiência, transparência e acesso à informação, bem como nas diretrizes esta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belecidas pela Lei Federal nº 14.129/2021, pela Lei Federal nº 12.527/2011 e pela Lei Federal nº 13.709/2018.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medida também se mostra alinhada às recomendações e diretrizes do Programa Nacional de Transparência Pública – PNTP, promovido pela Associação dos Membros dos Tribunais de Contas do Brasil – ATRICON, especialmente no que se refere ao fortalecimento da tra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n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sparência pública, da transformação digital, da governança institucional e da ampliação da oferta de serviços públicos digitais acessíveis ao cidadão, em consonância com os critérios de avaliação dos órgãos de controle externo e com os indicadores nacionai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s de transparência pública.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Além disso, a implementação de instrumentos digitais padronizados contribui para o aprimoramento dos fluxos administrativos internos, para a redução da burocracia, para o fortalecimento da participação social e para a ampliação da eficiência operacional de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sta Casa Legislativa.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Diante da relevância da matéria e da necessidade de adequação institucional às normas nacionais de governo digital, transparência e proteção de dados, requer-se a tramitação da presente proposição em REGIME DE URGÊNCIA, nos termos regimentais aplicáveis, c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onsiderando o interesse público envolvido, a necessidade de fortalecimento das práticas de governança digital e a observância das recomendações dos órgãos de controle e fiscalização.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09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Sala das Sessões, 11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de maio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de 2026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Alan Mansur Pereira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Luciano Diniz Caldas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Primeiro Vice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Nilton Cesar Pereira Moreira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Segundo Vice-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Leandra Lopes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Primeira Secretária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Jose Geraldo Jardim Filho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2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Segundo Secretário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Bdr/>
        <w:spacing w:before="240" w:line="240" w:lineRule="auto"/>
        <w:ind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sectPr>
      <w:headerReference w:type="default" r:id="rId8"/>
      <w:footnotePr/>
      <w:endnotePr/>
      <w:type w:val="continuous"/>
      <w:pgSz w:h="16838" w:orient="portrait" w:w="11906"/>
      <w:pgMar w:top="1417" w:right="1701" w:bottom="1417" w:left="1701" w:header="737" w:footer="73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251659264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-312166</wp:posOffset>
              </wp:positionV>
              <wp:extent cx="4039870" cy="652145"/>
              <wp:effectExtent l="0" t="0" r="0" b="0"/>
              <wp:wrapTight wrapText="bothSides">
                <wp:wrapPolygon edited="1">
                  <wp:start x="1019" y="0"/>
                  <wp:lineTo x="407" y="631"/>
                  <wp:lineTo x="0" y="4417"/>
                  <wp:lineTo x="0" y="17036"/>
                  <wp:lineTo x="11102" y="20191"/>
                  <wp:lineTo x="11408" y="20822"/>
                  <wp:lineTo x="11611" y="20822"/>
                  <wp:lineTo x="21491" y="20822"/>
                  <wp:lineTo x="21491" y="17667"/>
                  <wp:lineTo x="20065" y="10095"/>
                  <wp:lineTo x="20269" y="3155"/>
                  <wp:lineTo x="17417" y="1893"/>
                  <wp:lineTo x="2139" y="0"/>
                  <wp:lineTo x="1019" y="0"/>
                </wp:wrapPolygon>
              </wp:wrapTight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5631144" name="image2.png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4039869" cy="65214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margin;margin-left:0.00pt;mso-position-horizontal:absolute;mso-position-vertical-relative:text;margin-top:-24.58pt;mso-position-vertical:absolute;width:318.10pt;height:51.35pt;mso-wrap-distance-left:9.00pt;mso-wrap-distance-top:9.00pt;mso-wrap-distance-right:9.00pt;mso-wrap-distance-bottom:9.00pt;z-index:1;" wrapcoords="4718 0 1884 2921 0 20449 0 78870 51398 93477 52815 96398 53755 96398 99495 96398 99495 81792 92894 46736 93838 14606 80634 8764 9903 0 4718 0" stroked="f">
              <w10:wrap type="tight"/>
              <v:imagedata r:id="rId1" o:title=""/>
              <o:lock v:ext="edit" rotation="t"/>
            </v:shape>
          </w:pict>
        </mc:Fallback>
      </mc:AlternateContent>
    </w:r>
    <w:r/>
  </w:p>
  <w:p>
    <w:pPr>
      <w:pStyle w:val="917"/>
      <w:pBdr/>
      <w:spacing/>
      <w:ind/>
      <w:rPr/>
    </w:pPr>
    <w:r/>
    <w:r/>
  </w:p>
  <w:p>
    <w:pPr>
      <w:pStyle w:val="91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0">
    <w:name w:val="Table Grid"/>
    <w:basedOn w:val="9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Table Grid Light"/>
    <w:basedOn w:val="9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1"/>
    <w:basedOn w:val="9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2"/>
    <w:basedOn w:val="9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Plain Table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Plain Table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1 Light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1 Light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2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2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3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3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"/>
    <w:basedOn w:val="9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 - Accent 1"/>
    <w:basedOn w:val="9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2"/>
    <w:basedOn w:val="9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 - Accent 3"/>
    <w:basedOn w:val="9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4 - Accent 4"/>
    <w:basedOn w:val="9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 - Accent 5"/>
    <w:basedOn w:val="9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 - Accent 6"/>
    <w:basedOn w:val="9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5 Dark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5 Dark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1 Light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1 Light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2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2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3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3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4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4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5 Dark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6 Colorful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7 Colorful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 1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2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 3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ned - Accent 4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ned - Accent 5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ned - Accent 6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 1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2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 3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&amp; Lined - Accent 4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&amp; Lined - Accent 5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&amp; Lined - Accent 6"/>
    <w:basedOn w:val="9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- Accent 1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2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- Accent 3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- Accent 4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- Accent 5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- Accent 6"/>
    <w:basedOn w:val="9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6">
    <w:name w:val="Heading 1"/>
    <w:basedOn w:val="912"/>
    <w:next w:val="912"/>
    <w:link w:val="86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57">
    <w:name w:val="Heading 3"/>
    <w:basedOn w:val="912"/>
    <w:next w:val="912"/>
    <w:link w:val="86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8">
    <w:name w:val="Heading 4"/>
    <w:basedOn w:val="912"/>
    <w:next w:val="912"/>
    <w:link w:val="86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9">
    <w:name w:val="Heading 5"/>
    <w:basedOn w:val="912"/>
    <w:next w:val="912"/>
    <w:link w:val="86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60">
    <w:name w:val="Heading 6"/>
    <w:basedOn w:val="912"/>
    <w:next w:val="912"/>
    <w:link w:val="86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61">
    <w:name w:val="Heading 7"/>
    <w:basedOn w:val="912"/>
    <w:next w:val="912"/>
    <w:link w:val="87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62">
    <w:name w:val="Heading 8"/>
    <w:basedOn w:val="912"/>
    <w:next w:val="912"/>
    <w:link w:val="87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63">
    <w:name w:val="Heading 9"/>
    <w:basedOn w:val="912"/>
    <w:next w:val="912"/>
    <w:link w:val="87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64">
    <w:name w:val="Heading 1 Char"/>
    <w:basedOn w:val="914"/>
    <w:link w:val="85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5">
    <w:name w:val="Heading 2 Char"/>
    <w:basedOn w:val="914"/>
    <w:link w:val="91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6">
    <w:name w:val="Heading 3 Char"/>
    <w:basedOn w:val="914"/>
    <w:link w:val="85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7">
    <w:name w:val="Heading 4 Char"/>
    <w:basedOn w:val="914"/>
    <w:link w:val="85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8">
    <w:name w:val="Heading 5 Char"/>
    <w:basedOn w:val="914"/>
    <w:link w:val="85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9">
    <w:name w:val="Heading 6 Char"/>
    <w:basedOn w:val="914"/>
    <w:link w:val="86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0">
    <w:name w:val="Heading 7 Char"/>
    <w:basedOn w:val="914"/>
    <w:link w:val="86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1">
    <w:name w:val="Heading 8 Char"/>
    <w:basedOn w:val="914"/>
    <w:link w:val="8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2">
    <w:name w:val="Heading 9 Char"/>
    <w:basedOn w:val="914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3">
    <w:name w:val="Title"/>
    <w:basedOn w:val="912"/>
    <w:next w:val="912"/>
    <w:link w:val="87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4">
    <w:name w:val="Title Char"/>
    <w:basedOn w:val="914"/>
    <w:link w:val="87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5">
    <w:name w:val="Subtitle"/>
    <w:basedOn w:val="912"/>
    <w:next w:val="912"/>
    <w:link w:val="87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6">
    <w:name w:val="Subtitle Char"/>
    <w:basedOn w:val="914"/>
    <w:link w:val="87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7">
    <w:name w:val="Quote"/>
    <w:basedOn w:val="912"/>
    <w:next w:val="912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8">
    <w:name w:val="Quote Char"/>
    <w:basedOn w:val="914"/>
    <w:link w:val="87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9">
    <w:name w:val="List Paragraph"/>
    <w:basedOn w:val="912"/>
    <w:uiPriority w:val="34"/>
    <w:qFormat/>
    <w:pPr>
      <w:pBdr/>
      <w:spacing/>
      <w:ind w:left="720"/>
      <w:contextualSpacing w:val="true"/>
    </w:pPr>
  </w:style>
  <w:style w:type="character" w:styleId="880">
    <w:name w:val="Intense Emphasis"/>
    <w:basedOn w:val="91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1">
    <w:name w:val="Intense Quote"/>
    <w:basedOn w:val="912"/>
    <w:next w:val="912"/>
    <w:link w:val="88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2">
    <w:name w:val="Intense Quote Char"/>
    <w:basedOn w:val="914"/>
    <w:link w:val="88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3">
    <w:name w:val="Intense Reference"/>
    <w:basedOn w:val="91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4">
    <w:name w:val="No Spacing"/>
    <w:basedOn w:val="912"/>
    <w:uiPriority w:val="1"/>
    <w:qFormat/>
    <w:pPr>
      <w:pBdr/>
      <w:spacing w:after="0" w:line="240" w:lineRule="auto"/>
      <w:ind/>
    </w:pPr>
  </w:style>
  <w:style w:type="character" w:styleId="885">
    <w:name w:val="Subtle Emphasis"/>
    <w:basedOn w:val="91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Emphasis"/>
    <w:basedOn w:val="914"/>
    <w:uiPriority w:val="20"/>
    <w:qFormat/>
    <w:pPr>
      <w:pBdr/>
      <w:spacing/>
      <w:ind/>
    </w:pPr>
    <w:rPr>
      <w:i/>
      <w:iCs/>
    </w:rPr>
  </w:style>
  <w:style w:type="character" w:styleId="887">
    <w:name w:val="Subtle Reference"/>
    <w:basedOn w:val="91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8">
    <w:name w:val="Book Title"/>
    <w:basedOn w:val="91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9">
    <w:name w:val="Header Char"/>
    <w:basedOn w:val="914"/>
    <w:link w:val="917"/>
    <w:uiPriority w:val="99"/>
    <w:pPr>
      <w:pBdr/>
      <w:spacing/>
      <w:ind/>
    </w:pPr>
  </w:style>
  <w:style w:type="character" w:styleId="890">
    <w:name w:val="Footer Char"/>
    <w:basedOn w:val="914"/>
    <w:link w:val="919"/>
    <w:uiPriority w:val="99"/>
    <w:pPr>
      <w:pBdr/>
      <w:spacing/>
      <w:ind/>
    </w:pPr>
  </w:style>
  <w:style w:type="paragraph" w:styleId="891">
    <w:name w:val="Caption"/>
    <w:basedOn w:val="912"/>
    <w:next w:val="9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2">
    <w:name w:val="footnote text"/>
    <w:basedOn w:val="912"/>
    <w:link w:val="89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3">
    <w:name w:val="Footnote Text Char"/>
    <w:basedOn w:val="914"/>
    <w:link w:val="892"/>
    <w:uiPriority w:val="99"/>
    <w:semiHidden/>
    <w:pPr>
      <w:pBdr/>
      <w:spacing/>
      <w:ind/>
    </w:pPr>
    <w:rPr>
      <w:sz w:val="20"/>
      <w:szCs w:val="20"/>
    </w:rPr>
  </w:style>
  <w:style w:type="character" w:styleId="894">
    <w:name w:val="footnote reference"/>
    <w:basedOn w:val="914"/>
    <w:uiPriority w:val="99"/>
    <w:semiHidden/>
    <w:unhideWhenUsed/>
    <w:pPr>
      <w:pBdr/>
      <w:spacing/>
      <w:ind/>
    </w:pPr>
    <w:rPr>
      <w:vertAlign w:val="superscript"/>
    </w:rPr>
  </w:style>
  <w:style w:type="paragraph" w:styleId="895">
    <w:name w:val="endnote text"/>
    <w:basedOn w:val="912"/>
    <w:link w:val="89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6">
    <w:name w:val="Endnote Text Char"/>
    <w:basedOn w:val="914"/>
    <w:link w:val="895"/>
    <w:uiPriority w:val="99"/>
    <w:semiHidden/>
    <w:pPr>
      <w:pBdr/>
      <w:spacing/>
      <w:ind/>
    </w:pPr>
    <w:rPr>
      <w:sz w:val="20"/>
      <w:szCs w:val="20"/>
    </w:rPr>
  </w:style>
  <w:style w:type="character" w:styleId="897">
    <w:name w:val="endnote reference"/>
    <w:basedOn w:val="914"/>
    <w:uiPriority w:val="99"/>
    <w:semiHidden/>
    <w:unhideWhenUsed/>
    <w:pPr>
      <w:pBdr/>
      <w:spacing/>
      <w:ind/>
    </w:pPr>
    <w:rPr>
      <w:vertAlign w:val="superscript"/>
    </w:rPr>
  </w:style>
  <w:style w:type="character" w:styleId="898">
    <w:name w:val="Hyperlink"/>
    <w:basedOn w:val="91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9">
    <w:name w:val="FollowedHyperlink"/>
    <w:basedOn w:val="91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0">
    <w:name w:val="toc 1"/>
    <w:basedOn w:val="912"/>
    <w:next w:val="912"/>
    <w:uiPriority w:val="39"/>
    <w:unhideWhenUsed/>
    <w:pPr>
      <w:pBdr/>
      <w:spacing w:after="100"/>
      <w:ind/>
    </w:pPr>
  </w:style>
  <w:style w:type="paragraph" w:styleId="901">
    <w:name w:val="toc 2"/>
    <w:basedOn w:val="912"/>
    <w:next w:val="912"/>
    <w:uiPriority w:val="39"/>
    <w:unhideWhenUsed/>
    <w:pPr>
      <w:pBdr/>
      <w:spacing w:after="100"/>
      <w:ind w:left="220"/>
    </w:pPr>
  </w:style>
  <w:style w:type="paragraph" w:styleId="902">
    <w:name w:val="toc 3"/>
    <w:basedOn w:val="912"/>
    <w:next w:val="912"/>
    <w:uiPriority w:val="39"/>
    <w:unhideWhenUsed/>
    <w:pPr>
      <w:pBdr/>
      <w:spacing w:after="100"/>
      <w:ind w:left="440"/>
    </w:pPr>
  </w:style>
  <w:style w:type="paragraph" w:styleId="903">
    <w:name w:val="toc 4"/>
    <w:basedOn w:val="912"/>
    <w:next w:val="912"/>
    <w:uiPriority w:val="39"/>
    <w:unhideWhenUsed/>
    <w:pPr>
      <w:pBdr/>
      <w:spacing w:after="100"/>
      <w:ind w:left="660"/>
    </w:pPr>
  </w:style>
  <w:style w:type="paragraph" w:styleId="904">
    <w:name w:val="toc 5"/>
    <w:basedOn w:val="912"/>
    <w:next w:val="912"/>
    <w:uiPriority w:val="39"/>
    <w:unhideWhenUsed/>
    <w:pPr>
      <w:pBdr/>
      <w:spacing w:after="100"/>
      <w:ind w:left="880"/>
    </w:pPr>
  </w:style>
  <w:style w:type="paragraph" w:styleId="905">
    <w:name w:val="toc 6"/>
    <w:basedOn w:val="912"/>
    <w:next w:val="912"/>
    <w:uiPriority w:val="39"/>
    <w:unhideWhenUsed/>
    <w:pPr>
      <w:pBdr/>
      <w:spacing w:after="100"/>
      <w:ind w:left="1100"/>
    </w:pPr>
  </w:style>
  <w:style w:type="paragraph" w:styleId="906">
    <w:name w:val="toc 7"/>
    <w:basedOn w:val="912"/>
    <w:next w:val="912"/>
    <w:uiPriority w:val="39"/>
    <w:unhideWhenUsed/>
    <w:pPr>
      <w:pBdr/>
      <w:spacing w:after="100"/>
      <w:ind w:left="1320"/>
    </w:pPr>
  </w:style>
  <w:style w:type="paragraph" w:styleId="907">
    <w:name w:val="toc 8"/>
    <w:basedOn w:val="912"/>
    <w:next w:val="912"/>
    <w:uiPriority w:val="39"/>
    <w:unhideWhenUsed/>
    <w:pPr>
      <w:pBdr/>
      <w:spacing w:after="100"/>
      <w:ind w:left="1540"/>
    </w:pPr>
  </w:style>
  <w:style w:type="paragraph" w:styleId="908">
    <w:name w:val="toc 9"/>
    <w:basedOn w:val="912"/>
    <w:next w:val="912"/>
    <w:uiPriority w:val="39"/>
    <w:unhideWhenUsed/>
    <w:pPr>
      <w:pBdr/>
      <w:spacing w:after="100"/>
      <w:ind w:left="1760"/>
    </w:pPr>
  </w:style>
  <w:style w:type="character" w:styleId="909">
    <w:name w:val="Placeholder Text"/>
    <w:basedOn w:val="914"/>
    <w:uiPriority w:val="99"/>
    <w:semiHidden/>
    <w:pPr>
      <w:pBdr/>
      <w:spacing/>
      <w:ind/>
    </w:pPr>
    <w:rPr>
      <w:color w:val="666666"/>
    </w:rPr>
  </w:style>
  <w:style w:type="paragraph" w:styleId="910">
    <w:name w:val="TOC Heading"/>
    <w:uiPriority w:val="39"/>
    <w:unhideWhenUsed/>
    <w:pPr>
      <w:pBdr/>
      <w:spacing/>
      <w:ind/>
    </w:pPr>
  </w:style>
  <w:style w:type="paragraph" w:styleId="911">
    <w:name w:val="table of figures"/>
    <w:basedOn w:val="912"/>
    <w:next w:val="912"/>
    <w:uiPriority w:val="99"/>
    <w:unhideWhenUsed/>
    <w:pPr>
      <w:pBdr/>
      <w:spacing w:after="0" w:afterAutospacing="0"/>
      <w:ind/>
    </w:pPr>
  </w:style>
  <w:style w:type="paragraph" w:styleId="912" w:default="1">
    <w:name w:val="Normal"/>
    <w:qFormat/>
    <w:pPr>
      <w:pBdr/>
      <w:spacing/>
      <w:ind/>
    </w:pPr>
  </w:style>
  <w:style w:type="paragraph" w:styleId="913">
    <w:name w:val="Heading 2"/>
    <w:basedOn w:val="912"/>
    <w:link w:val="921"/>
    <w:uiPriority w:val="9"/>
    <w:qFormat/>
    <w:pPr>
      <w:pBdr/>
      <w:spacing w:after="100" w:afterAutospacing="1" w:before="100" w:beforeAutospacing="1" w:line="240" w:lineRule="auto"/>
      <w:ind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character" w:styleId="914" w:default="1">
    <w:name w:val="Default Paragraph Font"/>
    <w:uiPriority w:val="1"/>
    <w:semiHidden/>
    <w:unhideWhenUsed/>
    <w:pPr>
      <w:pBdr/>
      <w:spacing/>
      <w:ind/>
    </w:pPr>
  </w:style>
  <w:style w:type="table" w:styleId="91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6" w:default="1">
    <w:name w:val="No List"/>
    <w:uiPriority w:val="99"/>
    <w:semiHidden/>
    <w:unhideWhenUsed/>
    <w:pPr>
      <w:pBdr/>
      <w:spacing/>
      <w:ind/>
    </w:pPr>
  </w:style>
  <w:style w:type="paragraph" w:styleId="917">
    <w:name w:val="Header"/>
    <w:basedOn w:val="912"/>
    <w:link w:val="918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18" w:customStyle="1">
    <w:name w:val="Cabeçalho Char"/>
    <w:basedOn w:val="914"/>
    <w:link w:val="917"/>
    <w:uiPriority w:val="99"/>
    <w:pPr>
      <w:pBdr/>
      <w:spacing/>
      <w:ind/>
    </w:pPr>
  </w:style>
  <w:style w:type="paragraph" w:styleId="919">
    <w:name w:val="Footer"/>
    <w:basedOn w:val="912"/>
    <w:link w:val="920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20" w:customStyle="1">
    <w:name w:val="Rodapé Char"/>
    <w:basedOn w:val="914"/>
    <w:link w:val="919"/>
    <w:uiPriority w:val="99"/>
    <w:pPr>
      <w:pBdr/>
      <w:spacing/>
      <w:ind/>
    </w:pPr>
  </w:style>
  <w:style w:type="character" w:styleId="921" w:customStyle="1">
    <w:name w:val="Título 2 Char"/>
    <w:basedOn w:val="914"/>
    <w:link w:val="913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922">
    <w:name w:val="Normal (Web)"/>
    <w:basedOn w:val="91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23">
    <w:name w:val="Strong"/>
    <w:basedOn w:val="914"/>
    <w:uiPriority w:val="22"/>
    <w:qFormat/>
    <w:pPr>
      <w:pBdr/>
      <w:spacing/>
      <w:ind/>
    </w:pPr>
    <w:rPr>
      <w:b/>
      <w:bCs/>
    </w:rPr>
  </w:style>
  <w:style w:type="character" w:styleId="924">
    <w:name w:val="annotation reference"/>
    <w:basedOn w:val="914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25">
    <w:name w:val="annotation text"/>
    <w:basedOn w:val="912"/>
    <w:link w:val="92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26" w:customStyle="1">
    <w:name w:val="Texto de comentário Char"/>
    <w:basedOn w:val="914"/>
    <w:link w:val="925"/>
    <w:uiPriority w:val="99"/>
    <w:semiHidden/>
    <w:pPr>
      <w:pBdr/>
      <w:spacing/>
      <w:ind/>
    </w:pPr>
    <w:rPr>
      <w:sz w:val="20"/>
      <w:szCs w:val="20"/>
    </w:rPr>
  </w:style>
  <w:style w:type="paragraph" w:styleId="927">
    <w:name w:val="annotation subject"/>
    <w:basedOn w:val="925"/>
    <w:next w:val="925"/>
    <w:link w:val="928"/>
    <w:uiPriority w:val="99"/>
    <w:semiHidden/>
    <w:unhideWhenUsed/>
    <w:pPr>
      <w:pBdr/>
      <w:spacing/>
      <w:ind/>
    </w:pPr>
    <w:rPr>
      <w:b/>
      <w:bCs/>
    </w:rPr>
  </w:style>
  <w:style w:type="character" w:styleId="928" w:customStyle="1">
    <w:name w:val="Assunto do comentário Char"/>
    <w:basedOn w:val="926"/>
    <w:link w:val="927"/>
    <w:uiPriority w:val="99"/>
    <w:semiHidden/>
    <w:pPr>
      <w:pBdr/>
      <w:spacing/>
      <w:ind/>
    </w:pPr>
    <w:rPr>
      <w:b/>
      <w:bCs/>
      <w:sz w:val="20"/>
      <w:szCs w:val="20"/>
    </w:rPr>
  </w:style>
  <w:style w:type="paragraph" w:styleId="929">
    <w:name w:val="Balloon Text"/>
    <w:basedOn w:val="912"/>
    <w:link w:val="930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930" w:customStyle="1">
    <w:name w:val="Texto de balão Char"/>
    <w:basedOn w:val="914"/>
    <w:link w:val="929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Pereira Carneiro</dc:creator>
  <cp:keywords/>
  <dc:description/>
  <cp:revision>8</cp:revision>
  <dcterms:created xsi:type="dcterms:W3CDTF">2026-02-02T13:38:00Z</dcterms:created>
  <dcterms:modified xsi:type="dcterms:W3CDTF">2026-05-11T17:06:08Z</dcterms:modified>
</cp:coreProperties>
</file>