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BA2" w:rsidRDefault="00D07B13">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PORTARIA Nº 871/2024 DE 15</w:t>
      </w:r>
      <w:r w:rsidR="007A1B2D">
        <w:rPr>
          <w:rFonts w:ascii="Times New Roman" w:eastAsia="Times New Roman" w:hAnsi="Times New Roman" w:cs="Times New Roman"/>
          <w:b/>
          <w:sz w:val="24"/>
          <w:szCs w:val="24"/>
          <w:u w:val="single"/>
        </w:rPr>
        <w:t xml:space="preserve"> DE MARÇO DE 2024.</w:t>
      </w:r>
    </w:p>
    <w:p w:rsidR="00522BA2" w:rsidRDefault="00522BA2">
      <w:pPr>
        <w:jc w:val="center"/>
        <w:rPr>
          <w:rFonts w:ascii="Times New Roman" w:eastAsia="Times New Roman" w:hAnsi="Times New Roman" w:cs="Times New Roman"/>
          <w:b/>
          <w:sz w:val="24"/>
          <w:szCs w:val="24"/>
          <w:u w:val="single"/>
        </w:rPr>
      </w:pPr>
    </w:p>
    <w:p w:rsidR="00522BA2" w:rsidRDefault="00D07B13">
      <w:pPr>
        <w:ind w:firstLine="1440"/>
        <w:jc w:val="both"/>
        <w:rPr>
          <w:rFonts w:ascii="Times New Roman" w:eastAsia="Times New Roman" w:hAnsi="Times New Roman" w:cs="Times New Roman"/>
          <w:sz w:val="24"/>
          <w:szCs w:val="24"/>
        </w:rPr>
      </w:pPr>
      <w:r w:rsidRPr="003949A2">
        <w:rPr>
          <w:rFonts w:ascii="Times New Roman" w:hAnsi="Times New Roman" w:cs="Times New Roman"/>
          <w:b/>
          <w:sz w:val="24"/>
          <w:szCs w:val="24"/>
          <w:u w:val="single"/>
        </w:rPr>
        <w:t>VANDERLEI MARCOS PULGA BAIOTO</w:t>
      </w:r>
      <w:r w:rsidR="007A1B2D">
        <w:rPr>
          <w:rFonts w:ascii="Times New Roman" w:eastAsia="Times New Roman" w:hAnsi="Times New Roman" w:cs="Times New Roman"/>
          <w:b/>
          <w:sz w:val="24"/>
          <w:szCs w:val="24"/>
        </w:rPr>
        <w:t xml:space="preserve">, </w:t>
      </w:r>
      <w:r w:rsidR="007A1B2D">
        <w:rPr>
          <w:rFonts w:ascii="Times New Roman" w:eastAsia="Times New Roman" w:hAnsi="Times New Roman" w:cs="Times New Roman"/>
          <w:sz w:val="24"/>
          <w:szCs w:val="24"/>
        </w:rPr>
        <w:t xml:space="preserve">Presidente da Câmara Municipal de Campo Novo do Parecis, Estado de Mato Grosso, no uso de suas atribuições legais conferidas pelo art. 39, XXVIII do Regimento Interno desta Casa e, em conformidade com o disposto no art. 3º, da Lei Municipal nº 2.442/2023, </w:t>
      </w:r>
      <w:r w:rsidR="007A1B2D">
        <w:rPr>
          <w:rFonts w:ascii="Times New Roman" w:eastAsia="Times New Roman" w:hAnsi="Times New Roman" w:cs="Times New Roman"/>
          <w:sz w:val="24"/>
          <w:szCs w:val="24"/>
        </w:rPr>
        <w:t>e ainda, o interesse público e a necessidade administrativa;</w:t>
      </w:r>
    </w:p>
    <w:p w:rsidR="00522BA2" w:rsidRDefault="007A1B2D">
      <w:pPr>
        <w:ind w:firstLine="14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RESOLVE:</w:t>
      </w:r>
    </w:p>
    <w:p w:rsidR="00522BA2" w:rsidRDefault="007A1B2D">
      <w:pPr>
        <w:ind w:firstLine="1440"/>
        <w:jc w:val="both"/>
        <w:rPr>
          <w:rFonts w:ascii="Times New Roman" w:eastAsia="Times New Roman" w:hAnsi="Times New Roman" w:cs="Times New Roman"/>
        </w:rPr>
      </w:pPr>
      <w:r>
        <w:rPr>
          <w:rFonts w:ascii="Times New Roman" w:eastAsia="Times New Roman" w:hAnsi="Times New Roman" w:cs="Times New Roman"/>
          <w:b/>
          <w:sz w:val="24"/>
          <w:szCs w:val="24"/>
        </w:rPr>
        <w:t>CONCEDER,</w:t>
      </w:r>
      <w:r>
        <w:rPr>
          <w:rFonts w:ascii="Times New Roman" w:eastAsia="Times New Roman" w:hAnsi="Times New Roman" w:cs="Times New Roman"/>
          <w:sz w:val="24"/>
          <w:szCs w:val="24"/>
        </w:rPr>
        <w:t xml:space="preserve"> a partir desta data, </w:t>
      </w:r>
      <w:r>
        <w:rPr>
          <w:rFonts w:ascii="Times New Roman" w:eastAsia="Times New Roman" w:hAnsi="Times New Roman" w:cs="Times New Roman"/>
        </w:rPr>
        <w:t>percentual de gratificação, a título de função gratificada, sobre os vencimentos básicos mensais do servidor abaixo:</w:t>
      </w:r>
    </w:p>
    <w:tbl>
      <w:tblPr>
        <w:tblStyle w:val="a"/>
        <w:tblW w:w="84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5"/>
        <w:gridCol w:w="1620"/>
        <w:gridCol w:w="894"/>
        <w:gridCol w:w="5151"/>
      </w:tblGrid>
      <w:tr w:rsidR="00522BA2">
        <w:tc>
          <w:tcPr>
            <w:tcW w:w="825" w:type="dxa"/>
          </w:tcPr>
          <w:p w:rsidR="00522BA2" w:rsidRDefault="007A1B2D">
            <w:pPr>
              <w:jc w:val="center"/>
              <w:rPr>
                <w:rFonts w:ascii="Times New Roman" w:eastAsia="Times New Roman" w:hAnsi="Times New Roman" w:cs="Times New Roman"/>
                <w:b/>
              </w:rPr>
            </w:pPr>
            <w:r>
              <w:rPr>
                <w:rFonts w:ascii="Times New Roman" w:eastAsia="Times New Roman" w:hAnsi="Times New Roman" w:cs="Times New Roman"/>
                <w:b/>
              </w:rPr>
              <w:t>Mat.</w:t>
            </w:r>
          </w:p>
        </w:tc>
        <w:tc>
          <w:tcPr>
            <w:tcW w:w="1620" w:type="dxa"/>
          </w:tcPr>
          <w:p w:rsidR="00522BA2" w:rsidRDefault="007A1B2D">
            <w:pPr>
              <w:jc w:val="center"/>
              <w:rPr>
                <w:rFonts w:ascii="Times New Roman" w:eastAsia="Times New Roman" w:hAnsi="Times New Roman" w:cs="Times New Roman"/>
                <w:b/>
              </w:rPr>
            </w:pPr>
            <w:r>
              <w:rPr>
                <w:rFonts w:ascii="Times New Roman" w:eastAsia="Times New Roman" w:hAnsi="Times New Roman" w:cs="Times New Roman"/>
                <w:b/>
              </w:rPr>
              <w:t>SERVIDOR</w:t>
            </w:r>
          </w:p>
        </w:tc>
        <w:tc>
          <w:tcPr>
            <w:tcW w:w="894" w:type="dxa"/>
          </w:tcPr>
          <w:p w:rsidR="00522BA2" w:rsidRDefault="007A1B2D">
            <w:pPr>
              <w:jc w:val="center"/>
              <w:rPr>
                <w:rFonts w:ascii="Times New Roman" w:eastAsia="Times New Roman" w:hAnsi="Times New Roman" w:cs="Times New Roman"/>
                <w:b/>
              </w:rPr>
            </w:pPr>
            <w:r>
              <w:rPr>
                <w:rFonts w:ascii="Times New Roman" w:eastAsia="Times New Roman" w:hAnsi="Times New Roman" w:cs="Times New Roman"/>
                <w:b/>
              </w:rPr>
              <w:t>%</w:t>
            </w:r>
          </w:p>
        </w:tc>
        <w:tc>
          <w:tcPr>
            <w:tcW w:w="5151" w:type="dxa"/>
          </w:tcPr>
          <w:p w:rsidR="00522BA2" w:rsidRDefault="007A1B2D">
            <w:pPr>
              <w:jc w:val="center"/>
              <w:rPr>
                <w:rFonts w:ascii="Times New Roman" w:eastAsia="Times New Roman" w:hAnsi="Times New Roman" w:cs="Times New Roman"/>
                <w:b/>
              </w:rPr>
            </w:pPr>
            <w:r>
              <w:rPr>
                <w:rFonts w:ascii="Times New Roman" w:eastAsia="Times New Roman" w:hAnsi="Times New Roman" w:cs="Times New Roman"/>
                <w:b/>
              </w:rPr>
              <w:t>JUSTIFICATIVA (ativida</w:t>
            </w:r>
            <w:r>
              <w:rPr>
                <w:rFonts w:ascii="Times New Roman" w:eastAsia="Times New Roman" w:hAnsi="Times New Roman" w:cs="Times New Roman"/>
                <w:b/>
              </w:rPr>
              <w:t>des a serem desempenhadas)</w:t>
            </w:r>
          </w:p>
        </w:tc>
      </w:tr>
      <w:tr w:rsidR="00522BA2">
        <w:trPr>
          <w:trHeight w:val="531"/>
        </w:trPr>
        <w:tc>
          <w:tcPr>
            <w:tcW w:w="825" w:type="dxa"/>
          </w:tcPr>
          <w:p w:rsidR="00522BA2" w:rsidRDefault="00522BA2">
            <w:pPr>
              <w:rPr>
                <w:rFonts w:ascii="Times New Roman" w:eastAsia="Times New Roman" w:hAnsi="Times New Roman" w:cs="Times New Roman"/>
                <w:b/>
              </w:rPr>
            </w:pPr>
          </w:p>
          <w:p w:rsidR="00522BA2" w:rsidRDefault="00522BA2">
            <w:pPr>
              <w:rPr>
                <w:rFonts w:ascii="Times New Roman" w:eastAsia="Times New Roman" w:hAnsi="Times New Roman" w:cs="Times New Roman"/>
                <w:b/>
              </w:rPr>
            </w:pPr>
          </w:p>
          <w:p w:rsidR="00522BA2" w:rsidRDefault="00522BA2">
            <w:pPr>
              <w:jc w:val="center"/>
              <w:rPr>
                <w:rFonts w:ascii="Times New Roman" w:eastAsia="Times New Roman" w:hAnsi="Times New Roman" w:cs="Times New Roman"/>
                <w:b/>
              </w:rPr>
            </w:pPr>
          </w:p>
          <w:p w:rsidR="00522BA2" w:rsidRDefault="00522BA2">
            <w:pPr>
              <w:jc w:val="center"/>
              <w:rPr>
                <w:rFonts w:ascii="Times New Roman" w:eastAsia="Times New Roman" w:hAnsi="Times New Roman" w:cs="Times New Roman"/>
                <w:b/>
              </w:rPr>
            </w:pPr>
          </w:p>
          <w:p w:rsidR="00D07B13" w:rsidRDefault="007A1B2D">
            <w:pPr>
              <w:jc w:val="center"/>
              <w:rPr>
                <w:rFonts w:ascii="Times New Roman" w:eastAsia="Times New Roman" w:hAnsi="Times New Roman" w:cs="Times New Roman"/>
                <w:b/>
              </w:rPr>
            </w:pPr>
            <w:r>
              <w:rPr>
                <w:rFonts w:ascii="Times New Roman" w:eastAsia="Times New Roman" w:hAnsi="Times New Roman" w:cs="Times New Roman"/>
                <w:b/>
              </w:rPr>
              <w:t xml:space="preserve">         </w:t>
            </w:r>
          </w:p>
          <w:p w:rsidR="00D07B13" w:rsidRPr="00D07B13" w:rsidRDefault="00D07B13" w:rsidP="00D07B13">
            <w:pPr>
              <w:rPr>
                <w:rFonts w:ascii="Times New Roman" w:eastAsia="Times New Roman" w:hAnsi="Times New Roman" w:cs="Times New Roman"/>
              </w:rPr>
            </w:pPr>
          </w:p>
          <w:p w:rsidR="00D07B13" w:rsidRPr="00D07B13" w:rsidRDefault="00D07B13" w:rsidP="00D07B13">
            <w:pPr>
              <w:rPr>
                <w:rFonts w:ascii="Times New Roman" w:eastAsia="Times New Roman" w:hAnsi="Times New Roman" w:cs="Times New Roman"/>
              </w:rPr>
            </w:pPr>
          </w:p>
          <w:p w:rsidR="00D07B13" w:rsidRDefault="00D07B13" w:rsidP="00D07B13">
            <w:pPr>
              <w:rPr>
                <w:rFonts w:ascii="Times New Roman" w:eastAsia="Times New Roman" w:hAnsi="Times New Roman" w:cs="Times New Roman"/>
              </w:rPr>
            </w:pPr>
          </w:p>
          <w:p w:rsidR="00522BA2" w:rsidRPr="00D07B13" w:rsidRDefault="00D07B13" w:rsidP="00D07B13">
            <w:pPr>
              <w:rPr>
                <w:rFonts w:ascii="Times New Roman" w:eastAsia="Times New Roman" w:hAnsi="Times New Roman" w:cs="Times New Roman"/>
                <w:b/>
              </w:rPr>
            </w:pPr>
            <w:r w:rsidRPr="00D07B13">
              <w:rPr>
                <w:rFonts w:ascii="Times New Roman" w:eastAsia="Times New Roman" w:hAnsi="Times New Roman" w:cs="Times New Roman"/>
                <w:b/>
              </w:rPr>
              <w:t>238</w:t>
            </w:r>
          </w:p>
        </w:tc>
        <w:tc>
          <w:tcPr>
            <w:tcW w:w="1620" w:type="dxa"/>
            <w:vAlign w:val="center"/>
          </w:tcPr>
          <w:p w:rsidR="00522BA2" w:rsidRDefault="00D07B13">
            <w:pPr>
              <w:rPr>
                <w:rFonts w:ascii="Times New Roman" w:eastAsia="Times New Roman" w:hAnsi="Times New Roman" w:cs="Times New Roman"/>
                <w:b/>
              </w:rPr>
            </w:pPr>
            <w:bookmarkStart w:id="0" w:name="_gjdgxs" w:colFirst="0" w:colLast="0"/>
            <w:bookmarkEnd w:id="0"/>
            <w:r>
              <w:rPr>
                <w:rFonts w:ascii="Times New Roman" w:eastAsia="Times New Roman" w:hAnsi="Times New Roman" w:cs="Times New Roman"/>
                <w:b/>
              </w:rPr>
              <w:t xml:space="preserve">Matheus do </w:t>
            </w:r>
            <w:r w:rsidR="007A1B2D">
              <w:rPr>
                <w:rFonts w:ascii="Times New Roman" w:eastAsia="Times New Roman" w:hAnsi="Times New Roman" w:cs="Times New Roman"/>
                <w:b/>
              </w:rPr>
              <w:t>Berço Silva</w:t>
            </w:r>
          </w:p>
        </w:tc>
        <w:tc>
          <w:tcPr>
            <w:tcW w:w="894" w:type="dxa"/>
            <w:vAlign w:val="center"/>
          </w:tcPr>
          <w:p w:rsidR="00522BA2" w:rsidRDefault="007A1B2D">
            <w:pPr>
              <w:jc w:val="center"/>
              <w:rPr>
                <w:rFonts w:ascii="Times New Roman" w:eastAsia="Times New Roman" w:hAnsi="Times New Roman" w:cs="Times New Roman"/>
                <w:b/>
              </w:rPr>
            </w:pPr>
            <w:r>
              <w:rPr>
                <w:rFonts w:ascii="Times New Roman" w:eastAsia="Times New Roman" w:hAnsi="Times New Roman" w:cs="Times New Roman"/>
                <w:b/>
              </w:rPr>
              <w:t>50%</w:t>
            </w:r>
          </w:p>
        </w:tc>
        <w:tc>
          <w:tcPr>
            <w:tcW w:w="5151" w:type="dxa"/>
            <w:vAlign w:val="center"/>
          </w:tcPr>
          <w:p w:rsidR="00522BA2" w:rsidRDefault="007A1B2D">
            <w:pPr>
              <w:numPr>
                <w:ilvl w:val="0"/>
                <w:numId w:val="1"/>
              </w:num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Atuar como agente de contratação;</w:t>
            </w:r>
          </w:p>
          <w:p w:rsidR="00522BA2" w:rsidRDefault="007A1B2D">
            <w:pPr>
              <w:numPr>
                <w:ilvl w:val="0"/>
                <w:numId w:val="1"/>
              </w:num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Caberá ao agente de contratação, em especial:</w:t>
            </w:r>
          </w:p>
          <w:p w:rsidR="00522BA2" w:rsidRDefault="007A1B2D">
            <w:pPr>
              <w:numPr>
                <w:ilvl w:val="1"/>
                <w:numId w:val="1"/>
              </w:num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Tomar decisões em prol da boa condução da licitação, dar impulso ao procedimento, inclusive por meio de demandas às áreas das unidades de contratações, descentralizadas ou não, para fins de saneamento da fase preparatória, caso necessário;</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Acompanhar os tr</w:t>
            </w:r>
            <w:r>
              <w:rPr>
                <w:rFonts w:ascii="Arial" w:eastAsia="Arial" w:hAnsi="Arial" w:cs="Arial"/>
                <w:sz w:val="20"/>
                <w:szCs w:val="20"/>
              </w:rPr>
              <w:t>âmites da licitação e promover diligências, se for o caso, para que o calendário de contratação seja cumprido, observado, ainda, o grau de prioridade da contratação; e</w:t>
            </w:r>
          </w:p>
          <w:p w:rsidR="00522BA2" w:rsidRDefault="007A1B2D">
            <w:pPr>
              <w:numPr>
                <w:ilvl w:val="0"/>
                <w:numId w:val="1"/>
              </w:numPr>
              <w:jc w:val="both"/>
              <w:rPr>
                <w:rFonts w:ascii="Arial" w:eastAsia="Arial" w:hAnsi="Arial" w:cs="Arial"/>
                <w:sz w:val="20"/>
                <w:szCs w:val="20"/>
              </w:rPr>
            </w:pPr>
            <w:r>
              <w:rPr>
                <w:rFonts w:ascii="Arial" w:eastAsia="Arial" w:hAnsi="Arial" w:cs="Arial"/>
                <w:sz w:val="20"/>
                <w:szCs w:val="20"/>
              </w:rPr>
              <w:t>Conduzir e coordenar a sessão pública da licitação e promover as seguintes ações:</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a) receber, examinar e decidir as impugnações e os pedidos de esclarecimentos ao edital e aos seus anexos e requisitar subsídios formais aos responsáveis pela elaboração desses documentos, caso necessário;</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b) verificar a conformidade da proposta mais bem c</w:t>
            </w:r>
            <w:r>
              <w:rPr>
                <w:rFonts w:ascii="Arial" w:eastAsia="Arial" w:hAnsi="Arial" w:cs="Arial"/>
                <w:sz w:val="20"/>
                <w:szCs w:val="20"/>
              </w:rPr>
              <w:t>lassificada com os requisitos estabelecidos no edital;</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c) verificar e julgar as condições de habilitação;</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lastRenderedPageBreak/>
              <w:t>d) sanar erros ou falhas que não alterem a substância das propostas; e</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 xml:space="preserve">e) encaminhar à </w:t>
            </w:r>
            <w:r w:rsidRPr="00F31FAC">
              <w:rPr>
                <w:rFonts w:ascii="Arial" w:eastAsia="Arial" w:hAnsi="Arial" w:cs="Arial"/>
                <w:sz w:val="20"/>
                <w:szCs w:val="20"/>
              </w:rPr>
              <w:t>comissão de contratação</w:t>
            </w:r>
            <w:r w:rsidRPr="00F31FAC">
              <w:rPr>
                <w:rFonts w:ascii="Arial" w:eastAsia="Arial" w:hAnsi="Arial" w:cs="Arial"/>
                <w:sz w:val="20"/>
                <w:szCs w:val="20"/>
              </w:rPr>
              <w:t>,</w:t>
            </w:r>
            <w:r>
              <w:rPr>
                <w:rFonts w:ascii="Arial" w:eastAsia="Arial" w:hAnsi="Arial" w:cs="Arial"/>
                <w:sz w:val="20"/>
                <w:szCs w:val="20"/>
              </w:rPr>
              <w:t xml:space="preserve"> quando for o caso:</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1. os documentos de</w:t>
            </w:r>
            <w:r>
              <w:rPr>
                <w:rFonts w:ascii="Arial" w:eastAsia="Arial" w:hAnsi="Arial" w:cs="Arial"/>
                <w:sz w:val="20"/>
                <w:szCs w:val="20"/>
              </w:rPr>
              <w:t xml:space="preserve"> habilitação, caso se verifique a possibilidade de saneamento de erros ou de falhas que não alterem a substância dos documentos e a sua validade jurídica, conforme o disposto no </w:t>
            </w:r>
            <w:hyperlink r:id="rId7" w:anchor="art64%C2%A71">
              <w:r>
                <w:rPr>
                  <w:rFonts w:ascii="Arial" w:eastAsia="Arial" w:hAnsi="Arial" w:cs="Arial"/>
                  <w:color w:val="1155CC"/>
                  <w:sz w:val="20"/>
                  <w:szCs w:val="20"/>
                  <w:u w:val="single"/>
                </w:rPr>
                <w:t>§ 1º do art. 64 da Lei nº 14.133, de 2021</w:t>
              </w:r>
            </w:hyperlink>
            <w:r>
              <w:rPr>
                <w:rFonts w:ascii="Arial" w:eastAsia="Arial" w:hAnsi="Arial" w:cs="Arial"/>
                <w:sz w:val="20"/>
                <w:szCs w:val="20"/>
              </w:rPr>
              <w:t>; e</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 xml:space="preserve">2. os documentos relativos aos procedimentos auxiliares previstos no </w:t>
            </w:r>
            <w:hyperlink r:id="rId8" w:anchor="art78">
              <w:r>
                <w:rPr>
                  <w:rFonts w:ascii="Arial" w:eastAsia="Arial" w:hAnsi="Arial" w:cs="Arial"/>
                  <w:color w:val="1155CC"/>
                  <w:sz w:val="20"/>
                  <w:szCs w:val="20"/>
                  <w:u w:val="single"/>
                </w:rPr>
                <w:t>art. 78 d</w:t>
              </w:r>
              <w:r>
                <w:rPr>
                  <w:rFonts w:ascii="Arial" w:eastAsia="Arial" w:hAnsi="Arial" w:cs="Arial"/>
                  <w:color w:val="1155CC"/>
                  <w:sz w:val="20"/>
                  <w:szCs w:val="20"/>
                  <w:u w:val="single"/>
                </w:rPr>
                <w:t>a Lei nº 14.133, de 2021;</w:t>
              </w:r>
            </w:hyperlink>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f) negociar, quando for o caso, condições mais vantajosas com o primeiro colocado;</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g) indicar o vencedor do certame;</w:t>
            </w:r>
          </w:p>
          <w:p w:rsidR="00522BA2" w:rsidRDefault="007A1B2D">
            <w:pPr>
              <w:numPr>
                <w:ilvl w:val="1"/>
                <w:numId w:val="1"/>
              </w:numPr>
              <w:jc w:val="both"/>
              <w:rPr>
                <w:rFonts w:ascii="Arial" w:eastAsia="Arial" w:hAnsi="Arial" w:cs="Arial"/>
                <w:sz w:val="20"/>
                <w:szCs w:val="20"/>
              </w:rPr>
            </w:pPr>
            <w:r>
              <w:rPr>
                <w:rFonts w:ascii="Arial" w:eastAsia="Arial" w:hAnsi="Arial" w:cs="Arial"/>
                <w:sz w:val="20"/>
                <w:szCs w:val="20"/>
              </w:rPr>
              <w:t>h) conduzir os trabalhos da equipe de apoio; e</w:t>
            </w:r>
          </w:p>
          <w:p w:rsidR="00522BA2" w:rsidRDefault="007A1B2D">
            <w:pPr>
              <w:numPr>
                <w:ilvl w:val="1"/>
                <w:numId w:val="1"/>
              </w:numPr>
              <w:spacing w:before="300"/>
              <w:jc w:val="both"/>
              <w:rPr>
                <w:rFonts w:ascii="Arial" w:eastAsia="Arial" w:hAnsi="Arial" w:cs="Arial"/>
                <w:sz w:val="20"/>
                <w:szCs w:val="20"/>
              </w:rPr>
            </w:pPr>
            <w:r>
              <w:rPr>
                <w:rFonts w:ascii="Arial" w:eastAsia="Arial" w:hAnsi="Arial" w:cs="Arial"/>
                <w:sz w:val="20"/>
                <w:szCs w:val="20"/>
              </w:rPr>
              <w:t>i) encaminhar o processo instruído, após encerradas as fases de ju</w:t>
            </w:r>
            <w:r>
              <w:rPr>
                <w:rFonts w:ascii="Arial" w:eastAsia="Arial" w:hAnsi="Arial" w:cs="Arial"/>
                <w:sz w:val="20"/>
                <w:szCs w:val="20"/>
              </w:rPr>
              <w:t>lgamento e de habilitação e exauridos os recursos administrativos, à autoridade superior para adjudicação e para homologação.</w:t>
            </w:r>
          </w:p>
        </w:tc>
      </w:tr>
    </w:tbl>
    <w:p w:rsidR="00522BA2" w:rsidRDefault="00522BA2">
      <w:pPr>
        <w:jc w:val="both"/>
        <w:rPr>
          <w:rFonts w:ascii="Times New Roman" w:eastAsia="Times New Roman" w:hAnsi="Times New Roman" w:cs="Times New Roman"/>
          <w:sz w:val="24"/>
          <w:szCs w:val="24"/>
        </w:rPr>
      </w:pPr>
    </w:p>
    <w:p w:rsidR="00522BA2" w:rsidRDefault="007A1B2D">
      <w:pPr>
        <w:ind w:left="708" w:firstLine="7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Registre-se, Publique-se, Cumpra-se.</w:t>
      </w:r>
    </w:p>
    <w:p w:rsidR="00522BA2" w:rsidRDefault="00522BA2">
      <w:pPr>
        <w:ind w:left="708" w:firstLine="732"/>
        <w:jc w:val="both"/>
        <w:rPr>
          <w:rFonts w:ascii="Times New Roman" w:eastAsia="Times New Roman" w:hAnsi="Times New Roman" w:cs="Times New Roman"/>
          <w:sz w:val="24"/>
          <w:szCs w:val="24"/>
        </w:rPr>
      </w:pPr>
    </w:p>
    <w:p w:rsidR="00522BA2" w:rsidRDefault="007A1B2D">
      <w:pPr>
        <w:ind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Gabinete da Presidência da Câmara Municipal</w:t>
      </w:r>
      <w:r w:rsidR="00F31FAC">
        <w:rPr>
          <w:rFonts w:ascii="Times New Roman" w:eastAsia="Times New Roman" w:hAnsi="Times New Roman" w:cs="Times New Roman"/>
          <w:sz w:val="24"/>
          <w:szCs w:val="24"/>
        </w:rPr>
        <w:t xml:space="preserve"> de Campo Novo do Parecis, em 15</w:t>
      </w:r>
      <w:bookmarkStart w:id="1" w:name="_GoBack"/>
      <w:bookmarkEnd w:id="1"/>
      <w:r>
        <w:rPr>
          <w:rFonts w:ascii="Times New Roman" w:eastAsia="Times New Roman" w:hAnsi="Times New Roman" w:cs="Times New Roman"/>
          <w:sz w:val="24"/>
          <w:szCs w:val="24"/>
        </w:rPr>
        <w:t xml:space="preserve"> de março de 2024.                                        </w:t>
      </w:r>
    </w:p>
    <w:p w:rsidR="00522BA2" w:rsidRDefault="00522BA2">
      <w:pPr>
        <w:ind w:left="708"/>
        <w:jc w:val="both"/>
        <w:rPr>
          <w:rFonts w:ascii="Times New Roman" w:eastAsia="Times New Roman" w:hAnsi="Times New Roman" w:cs="Times New Roman"/>
          <w:sz w:val="24"/>
          <w:szCs w:val="24"/>
        </w:rPr>
      </w:pPr>
    </w:p>
    <w:p w:rsidR="00522BA2" w:rsidRDefault="00D07B13">
      <w:pPr>
        <w:spacing w:after="0"/>
        <w:ind w:left="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Ver. </w:t>
      </w:r>
      <w:r w:rsidRPr="00D07B13">
        <w:rPr>
          <w:rFonts w:ascii="Times New Roman" w:hAnsi="Times New Roman" w:cs="Times New Roman"/>
          <w:b/>
          <w:sz w:val="24"/>
          <w:szCs w:val="24"/>
        </w:rPr>
        <w:t>VANDERLEI MARCOS PULGA BAIOTO</w:t>
      </w:r>
    </w:p>
    <w:p w:rsidR="00522BA2" w:rsidRDefault="007A1B2D">
      <w:pPr>
        <w:spacing w:after="0"/>
        <w:ind w:left="708"/>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Presidente</w:t>
      </w:r>
    </w:p>
    <w:sectPr w:rsidR="00522BA2">
      <w:headerReference w:type="default" r:id="rId9"/>
      <w:pgSz w:w="11906" w:h="16838"/>
      <w:pgMar w:top="851" w:right="1701" w:bottom="1418" w:left="1701" w:header="1134" w:footer="39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B2D" w:rsidRDefault="007A1B2D">
      <w:pPr>
        <w:spacing w:after="0" w:line="240" w:lineRule="auto"/>
      </w:pPr>
      <w:r>
        <w:separator/>
      </w:r>
    </w:p>
  </w:endnote>
  <w:endnote w:type="continuationSeparator" w:id="0">
    <w:p w:rsidR="007A1B2D" w:rsidRDefault="007A1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B2D" w:rsidRDefault="007A1B2D">
      <w:pPr>
        <w:spacing w:after="0" w:line="240" w:lineRule="auto"/>
      </w:pPr>
      <w:r>
        <w:separator/>
      </w:r>
    </w:p>
  </w:footnote>
  <w:footnote w:type="continuationSeparator" w:id="0">
    <w:p w:rsidR="007A1B2D" w:rsidRDefault="007A1B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BA2" w:rsidRDefault="00522BA2">
    <w:pPr>
      <w:pBdr>
        <w:top w:val="nil"/>
        <w:left w:val="nil"/>
        <w:bottom w:val="nil"/>
        <w:right w:val="nil"/>
        <w:between w:val="nil"/>
      </w:pBdr>
      <w:tabs>
        <w:tab w:val="center" w:pos="4252"/>
        <w:tab w:val="right" w:pos="8504"/>
      </w:tabs>
      <w:spacing w:after="0" w:line="240" w:lineRule="auto"/>
      <w:rPr>
        <w:color w:val="000000"/>
      </w:rPr>
    </w:pPr>
  </w:p>
  <w:p w:rsidR="00522BA2" w:rsidRDefault="00522BA2">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946995"/>
    <w:multiLevelType w:val="multilevel"/>
    <w:tmpl w:val="981A8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BA2"/>
    <w:rsid w:val="00522BA2"/>
    <w:rsid w:val="007A1B2D"/>
    <w:rsid w:val="00D07B13"/>
    <w:rsid w:val="00F31F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D5A6B1-0A30-4395-8B15-EA60A2F47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spacing w:before="240" w:after="60" w:line="240" w:lineRule="auto"/>
      <w:outlineLvl w:val="4"/>
    </w:pPr>
    <w:rPr>
      <w:b/>
      <w:i/>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449</Words>
  <Characters>2429</Characters>
  <Application>Microsoft Office Word</Application>
  <DocSecurity>0</DocSecurity>
  <Lines>20</Lines>
  <Paragraphs>5</Paragraphs>
  <ScaleCrop>false</ScaleCrop>
  <Company/>
  <LinksUpToDate>false</LinksUpToDate>
  <CharactersWithSpaces>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Nair RH</cp:lastModifiedBy>
  <cp:revision>3</cp:revision>
  <dcterms:created xsi:type="dcterms:W3CDTF">2024-03-19T11:52:00Z</dcterms:created>
  <dcterms:modified xsi:type="dcterms:W3CDTF">2024-03-19T11:56:00Z</dcterms:modified>
</cp:coreProperties>
</file>