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3FCCF" w14:textId="77777777" w:rsidR="004E354D" w:rsidRPr="00020698" w:rsidRDefault="004E354D" w:rsidP="004E354D">
      <w:pPr>
        <w:rPr>
          <w:rFonts w:ascii="Times New Roman" w:hAnsi="Times New Roman" w:cs="Times New Roman"/>
          <w:b/>
        </w:rPr>
      </w:pPr>
      <w:r w:rsidRPr="00020698">
        <w:rPr>
          <w:rFonts w:ascii="Times New Roman" w:hAnsi="Times New Roman" w:cs="Times New Roman"/>
          <w:b/>
        </w:rPr>
        <w:t>PROJETO DE LEI Nº ____/2025</w:t>
      </w:r>
    </w:p>
    <w:p w14:paraId="30064FD7" w14:textId="77777777" w:rsidR="004E354D" w:rsidRPr="00020698" w:rsidRDefault="004E354D" w:rsidP="004E354D">
      <w:pPr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  <w:b/>
        </w:rPr>
        <w:t>(Autoria: Mesa Diretora)</w:t>
      </w:r>
    </w:p>
    <w:p w14:paraId="7D31BF3F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7882D369" w14:textId="21AF0A5A" w:rsidR="004E354D" w:rsidRPr="004C6FCC" w:rsidRDefault="004C6FCC" w:rsidP="004C6FCC">
      <w:pPr>
        <w:spacing w:line="276" w:lineRule="auto"/>
        <w:ind w:left="3969"/>
        <w:rPr>
          <w:rFonts w:ascii="Times New Roman" w:hAnsi="Times New Roman" w:cs="Times New Roman"/>
          <w:b/>
          <w:bCs/>
        </w:rPr>
      </w:pPr>
      <w:r w:rsidRPr="004C6FCC">
        <w:rPr>
          <w:rFonts w:ascii="Times New Roman" w:hAnsi="Times New Roman" w:cs="Times New Roman"/>
          <w:b/>
          <w:bCs/>
        </w:rPr>
        <w:t>DISPÕE SOBRE A REVOGAÇÃO DE LEIS MUNICIPAIS, NO MUNICÍPIO DE BAYEUX, QUE SE ENCONTRAM OBSOLETAS OU COM SEUS PROPÓSITOS CUMPRIDOS</w:t>
      </w:r>
      <w:r w:rsidR="004E354D" w:rsidRPr="004C6FCC">
        <w:rPr>
          <w:rFonts w:ascii="Times New Roman" w:hAnsi="Times New Roman" w:cs="Times New Roman"/>
          <w:b/>
          <w:bCs/>
        </w:rPr>
        <w:t>.</w:t>
      </w:r>
    </w:p>
    <w:p w14:paraId="4DF56957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5AD714BB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084339E1" w14:textId="77777777" w:rsidR="004E354D" w:rsidRPr="00020698" w:rsidRDefault="004E354D" w:rsidP="004E354D">
      <w:pPr>
        <w:rPr>
          <w:rFonts w:ascii="Times New Roman" w:hAnsi="Times New Roman" w:cs="Times New Roman"/>
          <w:b/>
        </w:rPr>
      </w:pPr>
      <w:r w:rsidRPr="00020698">
        <w:rPr>
          <w:rFonts w:ascii="Times New Roman" w:hAnsi="Times New Roman" w:cs="Times New Roman"/>
          <w:b/>
        </w:rPr>
        <w:t xml:space="preserve">A MESA DIRETORA DA CÂMARA MUNICIPAL DE BAYEUX </w:t>
      </w:r>
      <w:r w:rsidRPr="00020698">
        <w:rPr>
          <w:rFonts w:ascii="Times New Roman" w:hAnsi="Times New Roman" w:cs="Times New Roman"/>
        </w:rPr>
        <w:t>propõe e a Câmara Municipal aprova:</w:t>
      </w:r>
    </w:p>
    <w:p w14:paraId="16102E74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05D2D716" w14:textId="77777777" w:rsidR="004E354D" w:rsidRPr="00020698" w:rsidRDefault="004E354D" w:rsidP="004E354D">
      <w:pPr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  <w:b/>
        </w:rPr>
        <w:t>Art. 1º.</w:t>
      </w:r>
      <w:r w:rsidRPr="00020698">
        <w:rPr>
          <w:rFonts w:ascii="Times New Roman" w:hAnsi="Times New Roman" w:cs="Times New Roman"/>
        </w:rPr>
        <w:t xml:space="preserve"> Ficam revogadas as seguintes leis municipais, por terem cumprido integralmente seu propósito, serem de natureza temporária ou pontual, ou por se encontrarem em desacordo com a legislação superveniente:</w:t>
      </w:r>
    </w:p>
    <w:p w14:paraId="04920A4A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71A15B3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95/1963 que autoriza a desapropriação de um prédio para a ampliação de uma escola e a abertura de um crédito especial de Cr$ 300.000,00 para essa finalidade;</w:t>
      </w:r>
    </w:p>
    <w:p w14:paraId="563494B5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131/1965 que autoriza a aquisição de um terreno e sua doação ao SENAI para a construção de um Centro de Treinamento e Aprendizagem Industrial;</w:t>
      </w:r>
    </w:p>
    <w:p w14:paraId="3A39D43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173/1969 que autoriza a concessão à CAGEPA da exploração do serviço de água e esgoto por 20 anos;</w:t>
      </w:r>
    </w:p>
    <w:p w14:paraId="578F5AD5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205/1973 que concede isenção de IPTU e ISS à empresa Johnson &amp; Johnson por 10 anos;</w:t>
      </w:r>
    </w:p>
    <w:p w14:paraId="319C8C3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261/1978 que proíbe a instalação de motéis no perímetro urbano;</w:t>
      </w:r>
    </w:p>
    <w:p w14:paraId="5DBB4CCE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270/1978 que concede isenção de ISS por 10 anos a um hospital;</w:t>
      </w:r>
    </w:p>
    <w:p w14:paraId="757E513A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412/1988 que concede reajustes e abonos salariais;</w:t>
      </w:r>
    </w:p>
    <w:p w14:paraId="09FF087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428/1989 que concede isenção de IPTU aos servidores municipais;</w:t>
      </w:r>
    </w:p>
    <w:p w14:paraId="17F4BABD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430/1989 que concede isenção de tributos à Rádio Sanhauá por 10 anos;</w:t>
      </w:r>
    </w:p>
    <w:p w14:paraId="22ACA1A7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457/1990 que concede o 13º salário aos servidores do município;</w:t>
      </w:r>
    </w:p>
    <w:p w14:paraId="53C257F6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474/1990 que dispõe sobre a doação de terreno ao Centro Social Ebenézer;</w:t>
      </w:r>
    </w:p>
    <w:p w14:paraId="61B55F77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475/1990 que dispõe sobre a doação de imóvel do município;</w:t>
      </w:r>
    </w:p>
    <w:p w14:paraId="061C560A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487/1991 que autoriza a permuta de imóvel com a FIBRASA;</w:t>
      </w:r>
    </w:p>
    <w:p w14:paraId="081D702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488/1991 que autoriza a alienação de imóvel na Avenida Liberdade;</w:t>
      </w:r>
    </w:p>
    <w:p w14:paraId="6C63B286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492/1991 que autoriza a concessão de serviço público de transporte coletivo;</w:t>
      </w:r>
    </w:p>
    <w:p w14:paraId="47C4A748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498/1991 que autoriza a alienação de imóvel na Avenida Liberdade;</w:t>
      </w:r>
    </w:p>
    <w:p w14:paraId="5E523E82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507/1992 que autoriza a adesão a consórcio para adquirir equipamentos;</w:t>
      </w:r>
    </w:p>
    <w:p w14:paraId="1434FAC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641/1997 que anistia devedores de IPTU até 31 de dezembro de 1996;</w:t>
      </w:r>
    </w:p>
    <w:p w14:paraId="4F84D62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654/1997 que autoriza a prefeitura a vender ações da Telpa e Saelpa;</w:t>
      </w:r>
    </w:p>
    <w:p w14:paraId="361811F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664/1997 que autoriza a construção de uma escola;</w:t>
      </w:r>
    </w:p>
    <w:p w14:paraId="547650B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668/1997 que proíbe a concessão de estacionamento para táxi por 10 anos;</w:t>
      </w:r>
    </w:p>
    <w:p w14:paraId="5A02DBA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680/1997 que dispõe sobre a instalação de postos de combustível;</w:t>
      </w:r>
    </w:p>
    <w:p w14:paraId="3AB1CD2B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731/1999 que prorroga prazo de concurso público;</w:t>
      </w:r>
    </w:p>
    <w:p w14:paraId="5218BE3E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753/2000 que concede isenção de IPTU a deficientes;</w:t>
      </w:r>
    </w:p>
    <w:p w14:paraId="1A471F47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lastRenderedPageBreak/>
        <w:t>Lei nº 900/2004 que concede isenção de IPTU a viúvas;</w:t>
      </w:r>
    </w:p>
    <w:p w14:paraId="3587969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936/2005 que institui programa de recuperação fiscal;</w:t>
      </w:r>
    </w:p>
    <w:p w14:paraId="2DA9411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957/2005 que altera a lei orgânica;</w:t>
      </w:r>
    </w:p>
    <w:p w14:paraId="51325968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998/2006 que institui a LDO para 2007;</w:t>
      </w:r>
    </w:p>
    <w:p w14:paraId="139CCD0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1009/2006 que altera o código tributário municipal;</w:t>
      </w:r>
    </w:p>
    <w:p w14:paraId="0171CAF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1010/2006 que altera o código tributário municipal;</w:t>
      </w:r>
    </w:p>
    <w:p w14:paraId="0583A47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1011/2006 que autoriza o executivo a regularizar dívida com a Saelpa.</w:t>
      </w:r>
    </w:p>
    <w:p w14:paraId="2649616B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1014/2006 que concede reajuste a servidores públicos;</w:t>
      </w:r>
    </w:p>
    <w:p w14:paraId="682B125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1199/2010 que institui a LDO para 2011;</w:t>
      </w:r>
    </w:p>
    <w:p w14:paraId="576B13DE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1206/2011 que institui a LOA para 2011;</w:t>
      </w:r>
    </w:p>
    <w:p w14:paraId="41E60AA8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1211/2011 que institui a LDO para 2012;</w:t>
      </w:r>
    </w:p>
    <w:p w14:paraId="3133B52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1214/2011 que autoriza abertura de crédito especial;</w:t>
      </w:r>
    </w:p>
    <w:p w14:paraId="27B9AF7A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1241/2012 que autoriza majorar limite de suplementação orçamentária;</w:t>
      </w:r>
    </w:p>
    <w:p w14:paraId="198D9D0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1251/2012 que autoriza majorar limite de suplementação orçamentária;</w:t>
      </w:r>
    </w:p>
    <w:p w14:paraId="68CE2135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1252/2012 que institui a LOA para 2013;</w:t>
      </w:r>
    </w:p>
    <w:p w14:paraId="46DCDE46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1257/2012 que institui a LDO 2013;</w:t>
      </w:r>
    </w:p>
    <w:p w14:paraId="2247EC1D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1270/2013 que autoriza a suplementação do orçamento;</w:t>
      </w:r>
    </w:p>
    <w:p w14:paraId="3C39CF5B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1322/2013 que autoriza abertura de crédito especial;</w:t>
      </w:r>
    </w:p>
    <w:p w14:paraId="10D4A017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1324/2013 que institui a LOA para 2014;</w:t>
      </w:r>
    </w:p>
    <w:p w14:paraId="480E578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1326/2013 que autoriza abertura de crédito especial;</w:t>
      </w:r>
    </w:p>
    <w:p w14:paraId="69402F87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1327/2013 que institui a LDO para 2014;</w:t>
      </w:r>
    </w:p>
    <w:p w14:paraId="5E6C404F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1335/2013 que autoriza majorar suplementação orçamentária;</w:t>
      </w:r>
    </w:p>
    <w:p w14:paraId="79EBF09C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1344/2013 que altera a LOA 2014;</w:t>
      </w:r>
    </w:p>
    <w:p w14:paraId="6B7A8FAC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1345/2014 que institui a PPA 2014 a 2017;</w:t>
      </w:r>
    </w:p>
    <w:p w14:paraId="57E6B531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1351/2014 que altera a lei sobre suplementação orçamentária;</w:t>
      </w:r>
    </w:p>
    <w:p w14:paraId="48C1EE72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1352/2014 que concede reajuste a servidores públicos;</w:t>
      </w:r>
    </w:p>
    <w:p w14:paraId="52E5567E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1353/2014 que concede reajuste a servidores públicos;</w:t>
      </w:r>
    </w:p>
    <w:p w14:paraId="4333F9C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1357/2014 que autoriza abertura de crédito especial;</w:t>
      </w:r>
    </w:p>
    <w:p w14:paraId="3C018D7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1365/2014 que autoriza abertura de crédito especial;</w:t>
      </w:r>
    </w:p>
    <w:p w14:paraId="229C45ED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1366/2014 que autoriza abertura de crédito especial;</w:t>
      </w:r>
    </w:p>
    <w:p w14:paraId="60336412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1368/2014 que institui a LDO para 2015;</w:t>
      </w:r>
    </w:p>
    <w:p w14:paraId="2E92F19D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1369/2015 que institui a LOA para 2015;</w:t>
      </w:r>
    </w:p>
    <w:p w14:paraId="564BDD2A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1373/2015 que altera a LDO 2015;</w:t>
      </w:r>
    </w:p>
    <w:p w14:paraId="377078E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1374/2015 que autoriza abertura de crédito suplementar;</w:t>
      </w:r>
    </w:p>
    <w:p w14:paraId="70DA7421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1385/2015 que institui a campanha IPTU premiado;</w:t>
      </w:r>
    </w:p>
    <w:p w14:paraId="07A603C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1395/2015 que altera a lei sobre suplementação orçamentária;</w:t>
      </w:r>
    </w:p>
    <w:p w14:paraId="06EB075E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1399/2015: que institui a LDO para 2016;</w:t>
      </w:r>
    </w:p>
    <w:p w14:paraId="0186451E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1402/2015 que institui a campanha de recuperação fiscal;</w:t>
      </w:r>
    </w:p>
    <w:p w14:paraId="17164A92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1408/2015 que autoriza abertura de crédito especial;</w:t>
      </w:r>
    </w:p>
    <w:p w14:paraId="4D377F22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1580/2021 que modifica o PPA para 2021;</w:t>
      </w:r>
    </w:p>
    <w:p w14:paraId="65151441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1581/2021 que modifica a LDO para 2021;</w:t>
      </w:r>
    </w:p>
    <w:p w14:paraId="74B6DC20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1582/2021 que institui a fixa a LOA para 2021;</w:t>
      </w:r>
    </w:p>
    <w:p w14:paraId="2627A1A7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1626/2022 que altera a LDO de 2022;</w:t>
      </w:r>
    </w:p>
    <w:p w14:paraId="5971380B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1627/2022 que autoriza transposição de recursos do orçamento;</w:t>
      </w:r>
    </w:p>
    <w:p w14:paraId="677FD68F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1628/2022 que autoriza abertura de crédito especial;</w:t>
      </w:r>
    </w:p>
    <w:p w14:paraId="2E57209D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1629/2022 que institui a LOA para 2022;</w:t>
      </w:r>
    </w:p>
    <w:p w14:paraId="5F8AF9C1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1636/2022 que concede remissão parcial aos débitos de cobrança de preços públicos nas situações que especifica;</w:t>
      </w:r>
    </w:p>
    <w:p w14:paraId="719C4F55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1638/2022 que autoriza abertura de crédito especial;</w:t>
      </w:r>
    </w:p>
    <w:p w14:paraId="149C512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1646/2022 que autoriza abertura de crédito suplementar;</w:t>
      </w:r>
    </w:p>
    <w:p w14:paraId="4BE17CDD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1647/2022 que autoriza abertura de crédito especial;</w:t>
      </w:r>
    </w:p>
    <w:p w14:paraId="247FF94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1651/2022 que autoriza abertura de crédito especial;</w:t>
      </w:r>
    </w:p>
    <w:p w14:paraId="5C8A440C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1653/2022 que autoriza abertura de crédito especial;</w:t>
      </w:r>
    </w:p>
    <w:p w14:paraId="3F616FDA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lastRenderedPageBreak/>
        <w:t>Lei nº 1660/2022 que autoriza abertura de crédito especial;</w:t>
      </w:r>
    </w:p>
    <w:p w14:paraId="180CE2D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1661/2022 que autoriza abertura de crédito especial;</w:t>
      </w:r>
    </w:p>
    <w:p w14:paraId="41669052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1669/2022 que autoriza abertura de crédito suplementar;</w:t>
      </w:r>
    </w:p>
    <w:p w14:paraId="16BB6133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1696/2022 que autoriza abertura de crédito suplementar;</w:t>
      </w:r>
    </w:p>
    <w:p w14:paraId="2D8C98FA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1697/2022 que autoriza abertura de crédito especial;</w:t>
      </w:r>
    </w:p>
    <w:p w14:paraId="05D5722F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1736/2023 que autoriza abertura de crédito especial;</w:t>
      </w:r>
    </w:p>
    <w:p w14:paraId="688A33DD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1737/2023 que autoriza abertura de crédito especial;</w:t>
      </w:r>
    </w:p>
    <w:p w14:paraId="18F4875E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1745/2023 que autoriza abertura de crédito especial;</w:t>
      </w:r>
    </w:p>
    <w:p w14:paraId="77F9F211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1746/2023 que autoriza abertura de crédito especial;</w:t>
      </w:r>
    </w:p>
    <w:p w14:paraId="4AC87CF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1747/2023 que institui a LDO para 2024;</w:t>
      </w:r>
    </w:p>
    <w:p w14:paraId="086F2D9C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1752/2023 que autoriza abertura de crédito especial;</w:t>
      </w:r>
    </w:p>
    <w:p w14:paraId="2C356249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1754/2023 que autoriza abertura de crédito especial;</w:t>
      </w:r>
    </w:p>
    <w:p w14:paraId="17084F3B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1659/2023 que autoriza abertura de crédito especial;</w:t>
      </w:r>
    </w:p>
    <w:p w14:paraId="34D45391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1660/2023 que autoriza abertura de crédito suplementar;</w:t>
      </w:r>
    </w:p>
    <w:p w14:paraId="50969FF1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1661/2023 que autoriza abertura de crédito suplementar;</w:t>
      </w:r>
    </w:p>
    <w:p w14:paraId="3D82B838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1766/2023 que autoriza abertura de crédito especial;</w:t>
      </w:r>
    </w:p>
    <w:p w14:paraId="5AE203C0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1818/2024 que autoriza abertura de crédito especial;</w:t>
      </w:r>
    </w:p>
    <w:p w14:paraId="2BB6BA90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1819/2024 que autoriza abertura de crédito suplementar;</w:t>
      </w:r>
    </w:p>
    <w:p w14:paraId="1C1FE9AD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1823/2024 que autoriza abertura de crédito especial;</w:t>
      </w:r>
    </w:p>
    <w:p w14:paraId="0F5450A4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1824/2024 que autoriza abertura de crédito especial;</w:t>
      </w:r>
    </w:p>
    <w:p w14:paraId="30A65F4C" w14:textId="77777777" w:rsidR="004E354D" w:rsidRPr="00020698" w:rsidRDefault="004E354D" w:rsidP="004E354D">
      <w:pPr>
        <w:pStyle w:val="PargrafodaLista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 nº 1825/2024 que autoriza abertura de crédito especial;</w:t>
      </w:r>
    </w:p>
    <w:p w14:paraId="79A2B787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7267BCD6" w14:textId="77777777" w:rsidR="004E354D" w:rsidRPr="00020698" w:rsidRDefault="004E354D" w:rsidP="004E354D">
      <w:pPr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  <w:b/>
        </w:rPr>
        <w:t>Art. 2.</w:t>
      </w:r>
      <w:r w:rsidRPr="00020698">
        <w:rPr>
          <w:rFonts w:ascii="Times New Roman" w:hAnsi="Times New Roman" w:cs="Times New Roman"/>
        </w:rPr>
        <w:t xml:space="preserve"> Esta Lei entra em vigor na data de sua publicação.</w:t>
      </w:r>
    </w:p>
    <w:p w14:paraId="10C45542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57076DA9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5306DE6F" w14:textId="77777777" w:rsidR="004E354D" w:rsidRPr="00020698" w:rsidRDefault="004E354D" w:rsidP="009D0977">
      <w:pPr>
        <w:jc w:val="right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Bayeux, 17 de novembro de 2025.</w:t>
      </w:r>
    </w:p>
    <w:p w14:paraId="499033B2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3C1C18AB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1CEB2C45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050E05DF" w14:textId="77777777" w:rsidR="004E354D" w:rsidRPr="00020698" w:rsidRDefault="004E354D" w:rsidP="004E354D">
      <w:pPr>
        <w:shd w:val="clear" w:color="auto" w:fill="FFFFFF"/>
        <w:spacing w:line="360" w:lineRule="auto"/>
        <w:jc w:val="center"/>
        <w:rPr>
          <w:rFonts w:ascii="Times New Roman" w:eastAsia="Calibri" w:hAnsi="Times New Roman" w:cs="Times New Roman"/>
          <w:bCs/>
          <w:kern w:val="0"/>
          <w14:ligatures w14:val="none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7"/>
        <w:gridCol w:w="2935"/>
        <w:gridCol w:w="2762"/>
      </w:tblGrid>
      <w:tr w:rsidR="004E354D" w:rsidRPr="00020698" w14:paraId="0EDFCE93" w14:textId="77777777" w:rsidTr="006D574A">
        <w:trPr>
          <w:trHeight w:val="931"/>
          <w:jc w:val="center"/>
        </w:trPr>
        <w:tc>
          <w:tcPr>
            <w:tcW w:w="2845" w:type="dxa"/>
            <w:shd w:val="clear" w:color="000000" w:fill="FFFFFF"/>
            <w:tcMar>
              <w:left w:w="108" w:type="dxa"/>
              <w:right w:w="108" w:type="dxa"/>
            </w:tcMar>
          </w:tcPr>
          <w:p w14:paraId="0603F556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</w:rPr>
            </w:pPr>
            <w:r w:rsidRPr="00020698">
              <w:rPr>
                <w:rFonts w:ascii="Times New Roman" w:eastAsia="Arial" w:hAnsi="Times New Roman" w:cs="Times New Roman"/>
                <w:noProof/>
              </w:rPr>
              <w:drawing>
                <wp:anchor distT="0" distB="0" distL="114300" distR="114300" simplePos="0" relativeHeight="251657728" behindDoc="0" locked="0" layoutInCell="1" allowOverlap="1" wp14:anchorId="79966AD1" wp14:editId="187573D9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-349626</wp:posOffset>
                  </wp:positionV>
                  <wp:extent cx="1194211" cy="752475"/>
                  <wp:effectExtent l="0" t="0" r="6350" b="0"/>
                  <wp:wrapNone/>
                  <wp:docPr id="2" name="Imagem 2" descr="Desenho de estrelas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 descr="Desenho de estrelas&#10;&#10;O conteúdo gerado por IA pode estar incorreto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211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E795FE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  <w:b/>
              </w:rPr>
            </w:pPr>
            <w:r w:rsidRPr="00020698">
              <w:rPr>
                <w:rFonts w:ascii="Times New Roman" w:eastAsia="MV Boli" w:hAnsi="Times New Roman" w:cs="Times New Roman"/>
                <w:b/>
              </w:rPr>
              <w:t>Ver. Adriano Martins</w:t>
            </w:r>
          </w:p>
          <w:p w14:paraId="2F72227E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Eras Medium ITC" w:hAnsi="Times New Roman" w:cs="Times New Roman"/>
              </w:rPr>
            </w:pPr>
            <w:r w:rsidRPr="00020698">
              <w:rPr>
                <w:rFonts w:ascii="Times New Roman" w:eastAsia="Eras Medium ITC" w:hAnsi="Times New Roman" w:cs="Times New Roman"/>
              </w:rPr>
              <w:t>Presidente</w:t>
            </w:r>
          </w:p>
          <w:p w14:paraId="48A200DB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shd w:val="clear" w:color="000000" w:fill="FFFFFF"/>
            <w:tcMar>
              <w:left w:w="108" w:type="dxa"/>
              <w:right w:w="108" w:type="dxa"/>
            </w:tcMar>
          </w:tcPr>
          <w:p w14:paraId="0A07BD89" w14:textId="77777777" w:rsidR="004E354D" w:rsidRPr="00020698" w:rsidRDefault="004E354D" w:rsidP="006D574A">
            <w:pPr>
              <w:suppressAutoHyphens/>
              <w:rPr>
                <w:rFonts w:ascii="Times New Roman" w:eastAsia="MV Boli" w:hAnsi="Times New Roman" w:cs="Times New Roman"/>
              </w:rPr>
            </w:pPr>
            <w:r w:rsidRPr="00020698">
              <w:rPr>
                <w:rFonts w:ascii="Times New Roman" w:eastAsia="Arial" w:hAnsi="Times New Roman" w:cs="Times New Roman"/>
                <w:noProof/>
              </w:rPr>
              <w:drawing>
                <wp:anchor distT="0" distB="0" distL="114300" distR="114300" simplePos="0" relativeHeight="251652608" behindDoc="0" locked="0" layoutInCell="1" allowOverlap="1" wp14:anchorId="23E73373" wp14:editId="6CEA020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-56515</wp:posOffset>
                  </wp:positionV>
                  <wp:extent cx="1723547" cy="331787"/>
                  <wp:effectExtent l="0" t="0" r="0" b="0"/>
                  <wp:wrapNone/>
                  <wp:docPr id="3" name="Imagem 3" descr="Uma imagem contendo Diagrama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3" descr="Uma imagem contendo Diagrama&#10;&#10;O conteúdo gerado por IA pode estar incorreto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3547" cy="33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FEDA6D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  <w:b/>
              </w:rPr>
            </w:pPr>
            <w:r w:rsidRPr="00020698">
              <w:rPr>
                <w:rFonts w:ascii="Times New Roman" w:eastAsia="MV Boli" w:hAnsi="Times New Roman" w:cs="Times New Roman"/>
                <w:b/>
              </w:rPr>
              <w:t xml:space="preserve">Ver. Jefferson Oliveira </w:t>
            </w:r>
          </w:p>
          <w:p w14:paraId="7D0E877F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Eras Medium ITC" w:hAnsi="Times New Roman" w:cs="Times New Roman"/>
              </w:rPr>
            </w:pPr>
            <w:r w:rsidRPr="00020698">
              <w:rPr>
                <w:rFonts w:ascii="Times New Roman" w:eastAsia="Eras Medium ITC" w:hAnsi="Times New Roman" w:cs="Times New Roman"/>
              </w:rPr>
              <w:t>1º Secretário</w:t>
            </w:r>
          </w:p>
        </w:tc>
        <w:tc>
          <w:tcPr>
            <w:tcW w:w="2800" w:type="dxa"/>
            <w:shd w:val="clear" w:color="000000" w:fill="FFFFFF"/>
            <w:tcMar>
              <w:left w:w="108" w:type="dxa"/>
              <w:right w:w="108" w:type="dxa"/>
            </w:tcMar>
          </w:tcPr>
          <w:p w14:paraId="317115AA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</w:rPr>
            </w:pPr>
            <w:r w:rsidRPr="00020698">
              <w:rPr>
                <w:rFonts w:ascii="Times New Roman" w:eastAsia="Arial" w:hAnsi="Times New Roman" w:cs="Times New Roman"/>
                <w:noProof/>
              </w:rPr>
              <w:drawing>
                <wp:anchor distT="0" distB="0" distL="114300" distR="114300" simplePos="0" relativeHeight="251655680" behindDoc="0" locked="0" layoutInCell="1" allowOverlap="1" wp14:anchorId="575EAD99" wp14:editId="718C82E8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-179705</wp:posOffset>
                  </wp:positionV>
                  <wp:extent cx="990600" cy="584328"/>
                  <wp:effectExtent l="0" t="0" r="0" b="6350"/>
                  <wp:wrapNone/>
                  <wp:docPr id="7" name="Imagem 7" descr="Uma imagem contendo 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m 7" descr="Uma imagem contendo Logotipo&#10;&#10;O conteúdo gerado por IA pode estar incorreto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58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58DE6B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  <w:b/>
              </w:rPr>
            </w:pPr>
            <w:r w:rsidRPr="00020698">
              <w:rPr>
                <w:rFonts w:ascii="Times New Roman" w:eastAsia="MV Boli" w:hAnsi="Times New Roman" w:cs="Times New Roman"/>
                <w:b/>
              </w:rPr>
              <w:t xml:space="preserve">Ver. Rosiene Sarinho </w:t>
            </w:r>
          </w:p>
          <w:p w14:paraId="1E598989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Eras Medium ITC" w:hAnsi="Times New Roman" w:cs="Times New Roman"/>
              </w:rPr>
            </w:pPr>
            <w:r w:rsidRPr="00020698">
              <w:rPr>
                <w:rFonts w:ascii="Times New Roman" w:eastAsia="Eras Medium ITC" w:hAnsi="Times New Roman" w:cs="Times New Roman"/>
              </w:rPr>
              <w:t>2ª Secretária</w:t>
            </w:r>
          </w:p>
          <w:p w14:paraId="6BFE1E5D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B048963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38176658" w14:textId="77777777" w:rsidR="004E354D" w:rsidRPr="00020698" w:rsidRDefault="004E354D" w:rsidP="004E354D">
      <w:pPr>
        <w:jc w:val="center"/>
        <w:rPr>
          <w:rFonts w:ascii="Times New Roman" w:hAnsi="Times New Roman" w:cs="Times New Roman"/>
          <w:b/>
        </w:rPr>
      </w:pPr>
    </w:p>
    <w:p w14:paraId="74BE0D77" w14:textId="77777777" w:rsidR="004E354D" w:rsidRPr="00020698" w:rsidRDefault="004E354D" w:rsidP="004E354D">
      <w:pPr>
        <w:jc w:val="center"/>
        <w:rPr>
          <w:rFonts w:ascii="Times New Roman" w:hAnsi="Times New Roman" w:cs="Times New Roman"/>
          <w:b/>
        </w:rPr>
      </w:pPr>
    </w:p>
    <w:p w14:paraId="3A1783B8" w14:textId="77777777" w:rsidR="004E354D" w:rsidRPr="00020698" w:rsidRDefault="004E354D" w:rsidP="004E354D">
      <w:pPr>
        <w:jc w:val="center"/>
        <w:rPr>
          <w:rFonts w:ascii="Times New Roman" w:hAnsi="Times New Roman" w:cs="Times New Roman"/>
          <w:b/>
        </w:rPr>
      </w:pPr>
    </w:p>
    <w:p w14:paraId="3324FC7E" w14:textId="77777777" w:rsidR="004E354D" w:rsidRPr="00020698" w:rsidRDefault="004E354D" w:rsidP="004E354D">
      <w:pPr>
        <w:jc w:val="center"/>
        <w:rPr>
          <w:rFonts w:ascii="Times New Roman" w:hAnsi="Times New Roman" w:cs="Times New Roman"/>
          <w:b/>
        </w:rPr>
      </w:pPr>
    </w:p>
    <w:p w14:paraId="2CF72EAA" w14:textId="77777777" w:rsidR="004E354D" w:rsidRPr="00020698" w:rsidRDefault="004E354D" w:rsidP="004E354D">
      <w:pPr>
        <w:jc w:val="center"/>
        <w:rPr>
          <w:rFonts w:ascii="Times New Roman" w:hAnsi="Times New Roman" w:cs="Times New Roman"/>
          <w:b/>
        </w:rPr>
      </w:pPr>
    </w:p>
    <w:p w14:paraId="21C5EEC6" w14:textId="77777777" w:rsidR="004E354D" w:rsidRPr="00020698" w:rsidRDefault="004E354D" w:rsidP="004E354D">
      <w:pPr>
        <w:jc w:val="center"/>
        <w:rPr>
          <w:rFonts w:ascii="Times New Roman" w:hAnsi="Times New Roman" w:cs="Times New Roman"/>
          <w:b/>
        </w:rPr>
      </w:pPr>
    </w:p>
    <w:p w14:paraId="4165F28E" w14:textId="77777777" w:rsidR="004E354D" w:rsidRPr="00020698" w:rsidRDefault="004E354D" w:rsidP="004E354D">
      <w:pPr>
        <w:jc w:val="center"/>
        <w:rPr>
          <w:rFonts w:ascii="Times New Roman" w:hAnsi="Times New Roman" w:cs="Times New Roman"/>
          <w:b/>
        </w:rPr>
      </w:pPr>
    </w:p>
    <w:p w14:paraId="7F16F624" w14:textId="77777777" w:rsidR="004E354D" w:rsidRPr="00020698" w:rsidRDefault="004E354D" w:rsidP="004E354D">
      <w:pPr>
        <w:jc w:val="center"/>
        <w:rPr>
          <w:rFonts w:ascii="Times New Roman" w:hAnsi="Times New Roman" w:cs="Times New Roman"/>
          <w:b/>
        </w:rPr>
      </w:pPr>
    </w:p>
    <w:p w14:paraId="756E2C70" w14:textId="77777777" w:rsidR="004E354D" w:rsidRPr="00020698" w:rsidRDefault="004E354D" w:rsidP="004E354D">
      <w:pPr>
        <w:jc w:val="center"/>
        <w:rPr>
          <w:rFonts w:ascii="Times New Roman" w:hAnsi="Times New Roman" w:cs="Times New Roman"/>
          <w:b/>
        </w:rPr>
      </w:pPr>
      <w:r w:rsidRPr="00020698">
        <w:rPr>
          <w:rFonts w:ascii="Times New Roman" w:hAnsi="Times New Roman" w:cs="Times New Roman"/>
          <w:b/>
        </w:rPr>
        <w:t>JUSTIFICATIVA</w:t>
      </w:r>
    </w:p>
    <w:p w14:paraId="1EABA98B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3A93FFDB" w14:textId="77777777" w:rsidR="004E354D" w:rsidRPr="00020698" w:rsidRDefault="004E354D" w:rsidP="009D0977">
      <w:pPr>
        <w:ind w:firstLine="698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A presente propositura tem por finalidade consolidar a revogação de um vasto conjunto de leis municipais, conforme sugerido em levantamento anexo, que se encontram em uma das seguintes situações:</w:t>
      </w:r>
    </w:p>
    <w:p w14:paraId="4204ADD3" w14:textId="77777777" w:rsidR="004E354D" w:rsidRPr="00020698" w:rsidRDefault="004E354D" w:rsidP="009D0977">
      <w:pPr>
        <w:ind w:firstLine="698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 xml:space="preserve">Leis de Propósito Específico e Cumprido: A grande maioria das leis propostas para revogação são de natureza temporária ou tiveram seu objeto exaurido. Incluem-se aqui autorizações para desapropriações, doações, alienações, permutas, concessão de serviços, anistias, programas de recuperação fiscal, e leis orçamentárias anuais (LDOs e </w:t>
      </w:r>
      <w:proofErr w:type="spellStart"/>
      <w:r w:rsidRPr="00020698">
        <w:rPr>
          <w:rFonts w:ascii="Times New Roman" w:hAnsi="Times New Roman" w:cs="Times New Roman"/>
        </w:rPr>
        <w:t>LOAs</w:t>
      </w:r>
      <w:proofErr w:type="spellEnd"/>
      <w:r w:rsidRPr="00020698">
        <w:rPr>
          <w:rFonts w:ascii="Times New Roman" w:hAnsi="Times New Roman" w:cs="Times New Roman"/>
        </w:rPr>
        <w:t>), as quais já produziram seus efeitos ou foram substituídas por legislação posterior.</w:t>
      </w:r>
    </w:p>
    <w:p w14:paraId="7164F5F8" w14:textId="77777777" w:rsidR="004E354D" w:rsidRPr="00020698" w:rsidRDefault="004E354D" w:rsidP="009D0977">
      <w:pPr>
        <w:ind w:firstLine="698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Leis Obsoletas e Substituídas: Outras leis caíram em desuso, como as que concediam isenções de tributos com prazo determinado (10 anos) ou foram revogadas por normas complementares e supervenientes, a exemplo de dispositivos do Código Tributário, legislação sobre postos de combustível, isenções a deficientes e viúvas, e reajustes salariais que já foram incorporados. A Lei nº 457/1990 é obsoleta, pois o 13º salário é direito garantido por lei federal.</w:t>
      </w:r>
    </w:p>
    <w:p w14:paraId="4699A3A3" w14:textId="77777777" w:rsidR="004E354D" w:rsidRPr="00020698" w:rsidRDefault="004E354D" w:rsidP="009D0977">
      <w:pPr>
        <w:ind w:firstLine="698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Leis com Restrições em Desacordo com Normativas Atuais: Destaca-se a Lei nº 261/1978, que proíbe a instalação de motéis no perímetro urbano e exige a remoção de placas luminosas. Tais restrições são consideradas obsoletas e em potencial desacordo com as normativas atuais de zoneamento, desenvolvimento econômico e liberdade comercial.</w:t>
      </w:r>
    </w:p>
    <w:p w14:paraId="7694EDDA" w14:textId="77777777" w:rsidR="004E354D" w:rsidRDefault="004E354D" w:rsidP="009D0977">
      <w:pPr>
        <w:ind w:firstLine="698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A revogação destas normas é uma medida de higiene legislativa, essencial para a manutenção da ordem jurídica e para evitar a confusão e a insegurança na aplicação do direito. Ao remover leis que não possuem mais eficácia ou que já cumpriram sua finalidade, simplifica-se a consulta e garante-se que o corpo legislativo municipal reflita a realidade e as necessidades atuais da população de Bayeux.</w:t>
      </w:r>
    </w:p>
    <w:p w14:paraId="23E52441" w14:textId="77777777" w:rsidR="004E354D" w:rsidRDefault="004E354D" w:rsidP="009D0977">
      <w:pPr>
        <w:ind w:firstLine="698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Pelo exposto, solicitamos aos nobres pares a aprovação deste Projeto de Lei.</w:t>
      </w:r>
    </w:p>
    <w:p w14:paraId="73773557" w14:textId="77777777" w:rsidR="009D0977" w:rsidRPr="00020698" w:rsidRDefault="009D0977" w:rsidP="009D0977">
      <w:pPr>
        <w:ind w:firstLine="698"/>
        <w:rPr>
          <w:rFonts w:ascii="Times New Roman" w:hAnsi="Times New Roman" w:cs="Times New Roman"/>
        </w:rPr>
      </w:pPr>
    </w:p>
    <w:p w14:paraId="144CDADC" w14:textId="77777777" w:rsidR="004E354D" w:rsidRPr="00020698" w:rsidRDefault="004E354D" w:rsidP="009D0977">
      <w:pPr>
        <w:jc w:val="right"/>
        <w:rPr>
          <w:rFonts w:ascii="Times New Roman" w:hAnsi="Times New Roman" w:cs="Times New Roman"/>
        </w:rPr>
      </w:pPr>
      <w:r w:rsidRPr="00020698">
        <w:rPr>
          <w:rFonts w:ascii="Times New Roman" w:hAnsi="Times New Roman" w:cs="Times New Roman"/>
        </w:rPr>
        <w:t>Bayeux, 17 de novembro de 2025.</w:t>
      </w:r>
    </w:p>
    <w:p w14:paraId="76AC0E32" w14:textId="77777777" w:rsidR="004E354D" w:rsidRPr="00020698" w:rsidRDefault="004E354D" w:rsidP="004E354D">
      <w:pPr>
        <w:shd w:val="clear" w:color="auto" w:fill="FFFFFF"/>
        <w:spacing w:line="360" w:lineRule="auto"/>
        <w:jc w:val="center"/>
        <w:rPr>
          <w:rFonts w:ascii="Times New Roman" w:eastAsia="Calibri" w:hAnsi="Times New Roman" w:cs="Times New Roman"/>
          <w:bCs/>
          <w:kern w:val="0"/>
          <w14:ligatures w14:val="none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7"/>
        <w:gridCol w:w="2935"/>
        <w:gridCol w:w="2762"/>
      </w:tblGrid>
      <w:tr w:rsidR="004E354D" w:rsidRPr="00020698" w14:paraId="58A6DFDC" w14:textId="77777777" w:rsidTr="006D574A">
        <w:trPr>
          <w:trHeight w:val="931"/>
          <w:jc w:val="center"/>
        </w:trPr>
        <w:tc>
          <w:tcPr>
            <w:tcW w:w="2845" w:type="dxa"/>
            <w:shd w:val="clear" w:color="000000" w:fill="FFFFFF"/>
            <w:tcMar>
              <w:left w:w="108" w:type="dxa"/>
              <w:right w:w="108" w:type="dxa"/>
            </w:tcMar>
          </w:tcPr>
          <w:p w14:paraId="41A97CFD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</w:rPr>
            </w:pPr>
            <w:r w:rsidRPr="00020698">
              <w:rPr>
                <w:rFonts w:ascii="Times New Roman" w:eastAsia="Arial" w:hAnsi="Times New Roman" w:cs="Times New Roman"/>
                <w:noProof/>
              </w:rPr>
              <w:drawing>
                <wp:anchor distT="0" distB="0" distL="114300" distR="114300" simplePos="0" relativeHeight="251663872" behindDoc="0" locked="0" layoutInCell="1" allowOverlap="1" wp14:anchorId="5C91F46B" wp14:editId="23E3391E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-349626</wp:posOffset>
                  </wp:positionV>
                  <wp:extent cx="1194211" cy="752475"/>
                  <wp:effectExtent l="0" t="0" r="6350" b="0"/>
                  <wp:wrapNone/>
                  <wp:docPr id="12" name="Imagem 12" descr="Desenho de estrelas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m 12" descr="Desenho de estrelas&#10;&#10;O conteúdo gerado por IA pode estar incorreto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211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2CD43F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  <w:b/>
              </w:rPr>
            </w:pPr>
            <w:r w:rsidRPr="00020698">
              <w:rPr>
                <w:rFonts w:ascii="Times New Roman" w:eastAsia="MV Boli" w:hAnsi="Times New Roman" w:cs="Times New Roman"/>
                <w:b/>
              </w:rPr>
              <w:t>Ver. Adriano Martins</w:t>
            </w:r>
          </w:p>
          <w:p w14:paraId="38D742AA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Eras Medium ITC" w:hAnsi="Times New Roman" w:cs="Times New Roman"/>
              </w:rPr>
            </w:pPr>
            <w:r w:rsidRPr="00020698">
              <w:rPr>
                <w:rFonts w:ascii="Times New Roman" w:eastAsia="Eras Medium ITC" w:hAnsi="Times New Roman" w:cs="Times New Roman"/>
              </w:rPr>
              <w:t>Presidente</w:t>
            </w:r>
          </w:p>
          <w:p w14:paraId="35253C11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shd w:val="clear" w:color="000000" w:fill="FFFFFF"/>
            <w:tcMar>
              <w:left w:w="108" w:type="dxa"/>
              <w:right w:w="108" w:type="dxa"/>
            </w:tcMar>
          </w:tcPr>
          <w:p w14:paraId="707E1683" w14:textId="77777777" w:rsidR="004E354D" w:rsidRPr="00020698" w:rsidRDefault="004E354D" w:rsidP="006D574A">
            <w:pPr>
              <w:suppressAutoHyphens/>
              <w:rPr>
                <w:rFonts w:ascii="Times New Roman" w:eastAsia="MV Boli" w:hAnsi="Times New Roman" w:cs="Times New Roman"/>
              </w:rPr>
            </w:pPr>
            <w:r w:rsidRPr="00020698">
              <w:rPr>
                <w:rFonts w:ascii="Times New Roman" w:eastAsia="Arial" w:hAnsi="Times New Roman" w:cs="Times New Roman"/>
                <w:noProof/>
              </w:rPr>
              <w:drawing>
                <wp:anchor distT="0" distB="0" distL="114300" distR="114300" simplePos="0" relativeHeight="251659776" behindDoc="0" locked="0" layoutInCell="1" allowOverlap="1" wp14:anchorId="3A228376" wp14:editId="5F12F72F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-56515</wp:posOffset>
                  </wp:positionV>
                  <wp:extent cx="1723547" cy="331787"/>
                  <wp:effectExtent l="0" t="0" r="0" b="0"/>
                  <wp:wrapNone/>
                  <wp:docPr id="13" name="Imagem 13" descr="Uma imagem contendo Diagrama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m 13" descr="Uma imagem contendo Diagrama&#10;&#10;O conteúdo gerado por IA pode estar incorreto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3547" cy="33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32A497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  <w:b/>
              </w:rPr>
            </w:pPr>
            <w:r w:rsidRPr="00020698">
              <w:rPr>
                <w:rFonts w:ascii="Times New Roman" w:eastAsia="MV Boli" w:hAnsi="Times New Roman" w:cs="Times New Roman"/>
                <w:b/>
              </w:rPr>
              <w:t xml:space="preserve">Ver. Jefferson Oliveira </w:t>
            </w:r>
          </w:p>
          <w:p w14:paraId="21E0F838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Eras Medium ITC" w:hAnsi="Times New Roman" w:cs="Times New Roman"/>
              </w:rPr>
            </w:pPr>
            <w:r w:rsidRPr="00020698">
              <w:rPr>
                <w:rFonts w:ascii="Times New Roman" w:eastAsia="Eras Medium ITC" w:hAnsi="Times New Roman" w:cs="Times New Roman"/>
              </w:rPr>
              <w:t>1º Secretário</w:t>
            </w:r>
          </w:p>
        </w:tc>
        <w:tc>
          <w:tcPr>
            <w:tcW w:w="2800" w:type="dxa"/>
            <w:shd w:val="clear" w:color="000000" w:fill="FFFFFF"/>
            <w:tcMar>
              <w:left w:w="108" w:type="dxa"/>
              <w:right w:w="108" w:type="dxa"/>
            </w:tcMar>
          </w:tcPr>
          <w:p w14:paraId="4E9F3B22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</w:rPr>
            </w:pPr>
            <w:r w:rsidRPr="00020698">
              <w:rPr>
                <w:rFonts w:ascii="Times New Roman" w:eastAsia="Arial" w:hAnsi="Times New Roman" w:cs="Times New Roman"/>
                <w:noProof/>
              </w:rPr>
              <w:drawing>
                <wp:anchor distT="0" distB="0" distL="114300" distR="114300" simplePos="0" relativeHeight="251661824" behindDoc="0" locked="0" layoutInCell="1" allowOverlap="1" wp14:anchorId="5A8FB0CE" wp14:editId="7B39C020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-179705</wp:posOffset>
                  </wp:positionV>
                  <wp:extent cx="990600" cy="584328"/>
                  <wp:effectExtent l="0" t="0" r="0" b="6350"/>
                  <wp:wrapNone/>
                  <wp:docPr id="14" name="Imagem 14" descr="Uma imagem contendo 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m 14" descr="Uma imagem contendo Logotipo&#10;&#10;O conteúdo gerado por IA pode estar incorreto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58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AC696F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MV Boli" w:hAnsi="Times New Roman" w:cs="Times New Roman"/>
                <w:b/>
              </w:rPr>
            </w:pPr>
            <w:r w:rsidRPr="00020698">
              <w:rPr>
                <w:rFonts w:ascii="Times New Roman" w:eastAsia="MV Boli" w:hAnsi="Times New Roman" w:cs="Times New Roman"/>
                <w:b/>
              </w:rPr>
              <w:t xml:space="preserve">Ver. Rosiene Sarinho </w:t>
            </w:r>
          </w:p>
          <w:p w14:paraId="6A55983F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eastAsia="Eras Medium ITC" w:hAnsi="Times New Roman" w:cs="Times New Roman"/>
              </w:rPr>
            </w:pPr>
            <w:r w:rsidRPr="00020698">
              <w:rPr>
                <w:rFonts w:ascii="Times New Roman" w:eastAsia="Eras Medium ITC" w:hAnsi="Times New Roman" w:cs="Times New Roman"/>
              </w:rPr>
              <w:t>2ª Secretária</w:t>
            </w:r>
          </w:p>
          <w:p w14:paraId="70BE8951" w14:textId="77777777" w:rsidR="004E354D" w:rsidRPr="00020698" w:rsidRDefault="004E354D" w:rsidP="006D574A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4E6E972" w14:textId="77777777" w:rsidR="004E354D" w:rsidRPr="00020698" w:rsidRDefault="004E354D" w:rsidP="004E354D">
      <w:pPr>
        <w:rPr>
          <w:rFonts w:ascii="Times New Roman" w:hAnsi="Times New Roman" w:cs="Times New Roman"/>
        </w:rPr>
      </w:pPr>
    </w:p>
    <w:p w14:paraId="20B5C9A6" w14:textId="77777777" w:rsidR="00500E52" w:rsidRPr="00020698" w:rsidRDefault="00500E52" w:rsidP="00E5099D">
      <w:pPr>
        <w:rPr>
          <w:rFonts w:ascii="Times New Roman" w:hAnsi="Times New Roman" w:cs="Times New Roman"/>
        </w:rPr>
      </w:pPr>
    </w:p>
    <w:sectPr w:rsidR="00500E52" w:rsidRPr="00020698" w:rsidSect="007572E4">
      <w:headerReference w:type="default" r:id="rId11"/>
      <w:footerReference w:type="default" r:id="rId12"/>
      <w:headerReference w:type="first" r:id="rId13"/>
      <w:pgSz w:w="11906" w:h="16838"/>
      <w:pgMar w:top="360" w:right="1701" w:bottom="851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CE0C8" w14:textId="77777777" w:rsidR="00E60096" w:rsidRDefault="00E60096" w:rsidP="002571D9">
      <w:pPr>
        <w:spacing w:after="0" w:line="240" w:lineRule="auto"/>
      </w:pPr>
      <w:r>
        <w:separator/>
      </w:r>
    </w:p>
  </w:endnote>
  <w:endnote w:type="continuationSeparator" w:id="0">
    <w:p w14:paraId="487100C3" w14:textId="77777777" w:rsidR="00E60096" w:rsidRDefault="00E60096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922F6" w14:textId="77777777" w:rsidR="00E60096" w:rsidRDefault="00E60096" w:rsidP="002571D9">
      <w:pPr>
        <w:spacing w:after="0" w:line="240" w:lineRule="auto"/>
      </w:pPr>
      <w:r>
        <w:separator/>
      </w:r>
    </w:p>
  </w:footnote>
  <w:footnote w:type="continuationSeparator" w:id="0">
    <w:p w14:paraId="7A18FE79" w14:textId="77777777" w:rsidR="00E60096" w:rsidRDefault="00E60096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256847155" name="Imagem 256847155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1844063680" name="Imagem 1844063680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4776810"/>
    <w:multiLevelType w:val="multilevel"/>
    <w:tmpl w:val="F8102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A757E9"/>
    <w:multiLevelType w:val="multilevel"/>
    <w:tmpl w:val="83FCE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EA5813"/>
    <w:multiLevelType w:val="multilevel"/>
    <w:tmpl w:val="2206B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F568E4"/>
    <w:multiLevelType w:val="multilevel"/>
    <w:tmpl w:val="8D2C6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B17777"/>
    <w:multiLevelType w:val="multilevel"/>
    <w:tmpl w:val="BE74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7B07D8"/>
    <w:multiLevelType w:val="hybridMultilevel"/>
    <w:tmpl w:val="47003BA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C705CC"/>
    <w:multiLevelType w:val="multilevel"/>
    <w:tmpl w:val="1404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9C2618"/>
    <w:multiLevelType w:val="multilevel"/>
    <w:tmpl w:val="52C6C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827405"/>
    <w:multiLevelType w:val="multilevel"/>
    <w:tmpl w:val="7E62F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872148"/>
    <w:multiLevelType w:val="multilevel"/>
    <w:tmpl w:val="E33AC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3E4742"/>
    <w:multiLevelType w:val="multilevel"/>
    <w:tmpl w:val="C8C6C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30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7FE42AD7"/>
    <w:multiLevelType w:val="multilevel"/>
    <w:tmpl w:val="86785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1139989">
    <w:abstractNumId w:val="4"/>
  </w:num>
  <w:num w:numId="2" w16cid:durableId="1939830300">
    <w:abstractNumId w:val="12"/>
  </w:num>
  <w:num w:numId="3" w16cid:durableId="1678118311">
    <w:abstractNumId w:val="22"/>
  </w:num>
  <w:num w:numId="4" w16cid:durableId="277836131">
    <w:abstractNumId w:val="29"/>
  </w:num>
  <w:num w:numId="5" w16cid:durableId="1518034503">
    <w:abstractNumId w:val="18"/>
  </w:num>
  <w:num w:numId="6" w16cid:durableId="1058167435">
    <w:abstractNumId w:val="14"/>
  </w:num>
  <w:num w:numId="7" w16cid:durableId="1306934206">
    <w:abstractNumId w:val="0"/>
  </w:num>
  <w:num w:numId="8" w16cid:durableId="251012653">
    <w:abstractNumId w:val="8"/>
  </w:num>
  <w:num w:numId="9" w16cid:durableId="903024160">
    <w:abstractNumId w:val="25"/>
  </w:num>
  <w:num w:numId="10" w16cid:durableId="840462943">
    <w:abstractNumId w:val="31"/>
  </w:num>
  <w:num w:numId="11" w16cid:durableId="2079159302">
    <w:abstractNumId w:val="3"/>
  </w:num>
  <w:num w:numId="12" w16cid:durableId="1284654351">
    <w:abstractNumId w:val="26"/>
  </w:num>
  <w:num w:numId="13" w16cid:durableId="1812364620">
    <w:abstractNumId w:val="13"/>
  </w:num>
  <w:num w:numId="14" w16cid:durableId="1790781339">
    <w:abstractNumId w:val="6"/>
  </w:num>
  <w:num w:numId="15" w16cid:durableId="412168360">
    <w:abstractNumId w:val="5"/>
  </w:num>
  <w:num w:numId="16" w16cid:durableId="1531407103">
    <w:abstractNumId w:val="21"/>
  </w:num>
  <w:num w:numId="17" w16cid:durableId="1507401893">
    <w:abstractNumId w:val="28"/>
  </w:num>
  <w:num w:numId="18" w16cid:durableId="1391925846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7"/>
  </w:num>
  <w:num w:numId="21" w16cid:durableId="2047944255">
    <w:abstractNumId w:val="30"/>
  </w:num>
  <w:num w:numId="22" w16cid:durableId="414522764">
    <w:abstractNumId w:val="2"/>
  </w:num>
  <w:num w:numId="23" w16cid:durableId="226653003">
    <w:abstractNumId w:val="23"/>
  </w:num>
  <w:num w:numId="24" w16cid:durableId="224804248">
    <w:abstractNumId w:val="23"/>
    <w:lvlOverride w:ilvl="2">
      <w:startOverride w:val="2"/>
    </w:lvlOverride>
  </w:num>
  <w:num w:numId="25" w16cid:durableId="456340562">
    <w:abstractNumId w:val="23"/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26" w16cid:durableId="14161026">
    <w:abstractNumId w:val="23"/>
    <w:lvlOverride w:ilvl="2">
      <w:startOverride w:val="1"/>
    </w:lvlOverride>
  </w:num>
  <w:num w:numId="27" w16cid:durableId="1964727825">
    <w:abstractNumId w:val="23"/>
    <w:lvlOverride w:ilvl="2">
      <w:startOverride w:val="2"/>
    </w:lvlOverride>
  </w:num>
  <w:num w:numId="28" w16cid:durableId="1575626724">
    <w:abstractNumId w:val="23"/>
    <w:lvlOverride w:ilvl="2">
      <w:startOverride w:val="3"/>
    </w:lvlOverride>
  </w:num>
  <w:num w:numId="29" w16cid:durableId="1184825582">
    <w:abstractNumId w:val="23"/>
    <w:lvlOverride w:ilvl="2">
      <w:startOverride w:val="1"/>
    </w:lvlOverride>
  </w:num>
  <w:num w:numId="30" w16cid:durableId="384720753">
    <w:abstractNumId w:val="23"/>
    <w:lvlOverride w:ilvl="2">
      <w:startOverride w:val="2"/>
    </w:lvlOverride>
  </w:num>
  <w:num w:numId="31" w16cid:durableId="2084522129">
    <w:abstractNumId w:val="10"/>
  </w:num>
  <w:num w:numId="32" w16cid:durableId="433595555">
    <w:abstractNumId w:val="10"/>
    <w:lvlOverride w:ilvl="2">
      <w:startOverride w:val="2"/>
    </w:lvlOverride>
  </w:num>
  <w:num w:numId="33" w16cid:durableId="1502937407">
    <w:abstractNumId w:val="10"/>
    <w:lvlOverride w:ilvl="2">
      <w:startOverride w:val="3"/>
    </w:lvlOverride>
  </w:num>
  <w:num w:numId="34" w16cid:durableId="318727778">
    <w:abstractNumId w:val="10"/>
    <w:lvlOverride w:ilvl="2">
      <w:startOverride w:val="4"/>
    </w:lvlOverride>
  </w:num>
  <w:num w:numId="35" w16cid:durableId="985277631">
    <w:abstractNumId w:val="10"/>
    <w:lvlOverride w:ilvl="2">
      <w:startOverride w:val="5"/>
    </w:lvlOverride>
  </w:num>
  <w:num w:numId="36" w16cid:durableId="687029742">
    <w:abstractNumId w:val="10"/>
    <w:lvlOverride w:ilvl="2">
      <w:startOverride w:val="1"/>
    </w:lvlOverride>
  </w:num>
  <w:num w:numId="37" w16cid:durableId="140540174">
    <w:abstractNumId w:val="10"/>
    <w:lvlOverride w:ilvl="2">
      <w:startOverride w:val="2"/>
    </w:lvlOverride>
  </w:num>
  <w:num w:numId="38" w16cid:durableId="1845782943">
    <w:abstractNumId w:val="10"/>
    <w:lvlOverride w:ilvl="2">
      <w:startOverride w:val="3"/>
    </w:lvlOverride>
  </w:num>
  <w:num w:numId="39" w16cid:durableId="1482889106">
    <w:abstractNumId w:val="10"/>
    <w:lvlOverride w:ilvl="2">
      <w:startOverride w:val="4"/>
    </w:lvlOverride>
  </w:num>
  <w:num w:numId="40" w16cid:durableId="1325551980">
    <w:abstractNumId w:val="10"/>
    <w:lvlOverride w:ilvl="2">
      <w:startOverride w:val="5"/>
    </w:lvlOverride>
  </w:num>
  <w:num w:numId="41" w16cid:durableId="1126119884">
    <w:abstractNumId w:val="10"/>
    <w:lvlOverride w:ilvl="2">
      <w:startOverride w:val="6"/>
    </w:lvlOverride>
  </w:num>
  <w:num w:numId="42" w16cid:durableId="1599748910">
    <w:abstractNumId w:val="20"/>
  </w:num>
  <w:num w:numId="43" w16cid:durableId="1556550135">
    <w:abstractNumId w:val="11"/>
  </w:num>
  <w:num w:numId="44" w16cid:durableId="1458337548">
    <w:abstractNumId w:val="27"/>
  </w:num>
  <w:num w:numId="45" w16cid:durableId="1064911503">
    <w:abstractNumId w:val="24"/>
  </w:num>
  <w:num w:numId="46" w16cid:durableId="1588730999">
    <w:abstractNumId w:val="15"/>
  </w:num>
  <w:num w:numId="47" w16cid:durableId="1199857874">
    <w:abstractNumId w:val="19"/>
  </w:num>
  <w:num w:numId="48" w16cid:durableId="1975719946">
    <w:abstractNumId w:val="16"/>
  </w:num>
  <w:num w:numId="49" w16cid:durableId="642346211">
    <w:abstractNumId w:val="32"/>
  </w:num>
  <w:num w:numId="50" w16cid:durableId="156851519">
    <w:abstractNumId w:val="1"/>
  </w:num>
  <w:num w:numId="51" w16cid:durableId="11358304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20698"/>
    <w:rsid w:val="000541F6"/>
    <w:rsid w:val="00077789"/>
    <w:rsid w:val="0008360E"/>
    <w:rsid w:val="00087038"/>
    <w:rsid w:val="00087092"/>
    <w:rsid w:val="000D648F"/>
    <w:rsid w:val="0010551C"/>
    <w:rsid w:val="0014742D"/>
    <w:rsid w:val="00152A9A"/>
    <w:rsid w:val="001546BE"/>
    <w:rsid w:val="0017314E"/>
    <w:rsid w:val="00174E86"/>
    <w:rsid w:val="00175C19"/>
    <w:rsid w:val="001A6633"/>
    <w:rsid w:val="001D5D5E"/>
    <w:rsid w:val="001E0B14"/>
    <w:rsid w:val="00202A0A"/>
    <w:rsid w:val="002571D9"/>
    <w:rsid w:val="00270C3E"/>
    <w:rsid w:val="00271C2E"/>
    <w:rsid w:val="003242E9"/>
    <w:rsid w:val="003E1820"/>
    <w:rsid w:val="00446D1D"/>
    <w:rsid w:val="004B7AAF"/>
    <w:rsid w:val="004C6FCC"/>
    <w:rsid w:val="004E354D"/>
    <w:rsid w:val="00500E52"/>
    <w:rsid w:val="00591699"/>
    <w:rsid w:val="00595F08"/>
    <w:rsid w:val="005B30E6"/>
    <w:rsid w:val="00633161"/>
    <w:rsid w:val="00633BCF"/>
    <w:rsid w:val="00644B2F"/>
    <w:rsid w:val="006606CC"/>
    <w:rsid w:val="006758C3"/>
    <w:rsid w:val="00681283"/>
    <w:rsid w:val="006C08D4"/>
    <w:rsid w:val="007030D1"/>
    <w:rsid w:val="007572E4"/>
    <w:rsid w:val="00773C93"/>
    <w:rsid w:val="007F5E6A"/>
    <w:rsid w:val="00891179"/>
    <w:rsid w:val="008C16ED"/>
    <w:rsid w:val="008D5CA9"/>
    <w:rsid w:val="008D77B8"/>
    <w:rsid w:val="008E426D"/>
    <w:rsid w:val="00926F5B"/>
    <w:rsid w:val="00944D1B"/>
    <w:rsid w:val="00947086"/>
    <w:rsid w:val="009609C1"/>
    <w:rsid w:val="0098093F"/>
    <w:rsid w:val="00981BB6"/>
    <w:rsid w:val="00983C69"/>
    <w:rsid w:val="00991C8B"/>
    <w:rsid w:val="009A15FA"/>
    <w:rsid w:val="009B4C31"/>
    <w:rsid w:val="009D0977"/>
    <w:rsid w:val="00A10F0C"/>
    <w:rsid w:val="00A652A8"/>
    <w:rsid w:val="00A658BC"/>
    <w:rsid w:val="00A757FB"/>
    <w:rsid w:val="00A76EA0"/>
    <w:rsid w:val="00AA7782"/>
    <w:rsid w:val="00AB0A09"/>
    <w:rsid w:val="00AC0FC2"/>
    <w:rsid w:val="00B61DA8"/>
    <w:rsid w:val="00BA05D3"/>
    <w:rsid w:val="00BA4221"/>
    <w:rsid w:val="00C66984"/>
    <w:rsid w:val="00C8047F"/>
    <w:rsid w:val="00CD66B7"/>
    <w:rsid w:val="00CE0E99"/>
    <w:rsid w:val="00CF21F8"/>
    <w:rsid w:val="00CF5E58"/>
    <w:rsid w:val="00D06EA0"/>
    <w:rsid w:val="00D32B10"/>
    <w:rsid w:val="00D56864"/>
    <w:rsid w:val="00D672D8"/>
    <w:rsid w:val="00D67E8E"/>
    <w:rsid w:val="00DA2809"/>
    <w:rsid w:val="00DC59C6"/>
    <w:rsid w:val="00DD3AE9"/>
    <w:rsid w:val="00E25DD3"/>
    <w:rsid w:val="00E5099D"/>
    <w:rsid w:val="00E60096"/>
    <w:rsid w:val="00EB15F6"/>
    <w:rsid w:val="00EF1898"/>
    <w:rsid w:val="00F313E1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944D1B"/>
    <w:rPr>
      <w:rFonts w:ascii="Times New Roman" w:eastAsia="Times New Roman" w:hAnsi="Times New Roman" w:cs="Times New Roman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44D1B"/>
    <w:pPr>
      <w:widowControl w:val="0"/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lang w:val="pt-PT"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944D1B"/>
    <w:rPr>
      <w:rFonts w:ascii="Garamond" w:eastAsia="Garamond" w:hAnsi="Garamond" w:cs="Garamond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1394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3</cp:revision>
  <dcterms:created xsi:type="dcterms:W3CDTF">2025-11-18T21:32:00Z</dcterms:created>
  <dcterms:modified xsi:type="dcterms:W3CDTF">2025-11-18T21:34:00Z</dcterms:modified>
</cp:coreProperties>
</file>