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19/2020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</w:t>
      </w:r>
      <w:r>
        <w:rPr>
          <w:rFonts w:ascii="Arial" w:hAnsi="Arial" w:cs="Arial"/>
          <w:sz w:val="24"/>
        </w:rPr>
        <w:t>O artigo 1º da Lei 1647 de 09 de janeiro de 2020, passará a vigorar com a seguinte redação: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Default="005E428F" w:rsidP="005E428F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Art. 2º - </w:t>
      </w:r>
      <w:r w:rsidRPr="008017BE">
        <w:rPr>
          <w:rFonts w:ascii="Arial" w:hAnsi="Arial" w:cs="Arial"/>
          <w:sz w:val="24"/>
        </w:rPr>
        <w:t xml:space="preserve">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97.000,00 (noventa e sete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plementação da seguinte dotação do orçamento vigente: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 – DIVISÃO MUNICIPAL DE CULTURA E TURISMO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020502 – MANUTENÇÃO DOS NÚCLEOS POLIESPORTIVOS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27.812.0014.1007.0000 – CONSTRUÇÃO, REFORMA E/OU AMPLIAÇÃO DE CENTROS RECREATIVOS E DESPORTIVOS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44.90.51.00 – OBRAS E INSTALAÇÕES.........................................................R$ 97.000,00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</w:t>
      </w:r>
      <w:r>
        <w:rPr>
          <w:rFonts w:ascii="Arial" w:hAnsi="Arial" w:cs="Arial"/>
          <w:sz w:val="24"/>
        </w:rPr>
        <w:t>3</w:t>
      </w:r>
      <w:r w:rsidRPr="008017BE">
        <w:rPr>
          <w:rFonts w:ascii="Arial" w:hAnsi="Arial" w:cs="Arial"/>
          <w:sz w:val="24"/>
        </w:rPr>
        <w:t>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Superávit Financeiro do Exercício Anterior – Recursos Próprios.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</w:t>
      </w:r>
      <w:r>
        <w:rPr>
          <w:rFonts w:ascii="Arial" w:hAnsi="Arial" w:cs="Arial"/>
          <w:sz w:val="24"/>
        </w:rPr>
        <w:t>4</w:t>
      </w:r>
      <w:r w:rsidRPr="008017BE">
        <w:rPr>
          <w:rFonts w:ascii="Arial" w:hAnsi="Arial" w:cs="Arial"/>
          <w:sz w:val="24"/>
        </w:rPr>
        <w:t>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02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2020</w:t>
      </w: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97.000,00 (noventa e sete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o custeio da Contrapartida Municipal nas Obras de Desassore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mento e Revitalização da Prainha Municipal “Carlos Shiguero Emoto”. O crédito aberto será coberto com recursos provenientes do Superávit Financeiro do Exercício Anterior – Recursos Próprios.</w:t>
      </w:r>
    </w:p>
    <w:p w:rsidR="005E428F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Existe uma lei de nº 1647 de 09 de janeiro de 2020, autorizando abe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tura de Crédito Adicional Suplementar no valor de R$ 40.000,00 (quarenta mil reais), po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tanto, houve atualização das tabelas de custos da obra que aumentou sobremaneira a contrapartida.</w:t>
      </w: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  <w:u w:val="single"/>
        </w:rPr>
      </w:pPr>
    </w:p>
    <w:p w:rsidR="005E428F" w:rsidRPr="008017BE" w:rsidRDefault="005E428F" w:rsidP="005E428F">
      <w:pPr>
        <w:jc w:val="both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abril de 2020</w:t>
      </w: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rPr>
          <w:rFonts w:ascii="Arial" w:hAnsi="Arial" w:cs="Arial"/>
          <w:sz w:val="24"/>
        </w:rPr>
      </w:pPr>
    </w:p>
    <w:p w:rsidR="005E428F" w:rsidRPr="008017BE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E428F" w:rsidRDefault="005E428F" w:rsidP="005E428F">
      <w:pPr>
        <w:jc w:val="center"/>
        <w:rPr>
          <w:rFonts w:ascii="Arial" w:hAnsi="Arial" w:cs="Arial"/>
          <w:sz w:val="24"/>
        </w:rPr>
      </w:pPr>
    </w:p>
    <w:p w:rsidR="00A25CAA" w:rsidRDefault="00A25CAA" w:rsidP="00A25CAA">
      <w:pPr>
        <w:jc w:val="center"/>
        <w:rPr>
          <w:rFonts w:ascii="Arial" w:hAnsi="Arial" w:cs="Arial"/>
          <w:sz w:val="24"/>
        </w:rPr>
      </w:pPr>
    </w:p>
    <w:sectPr w:rsidR="00A25CAA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129" w:rsidRDefault="00993129" w:rsidP="008C51DC">
      <w:r>
        <w:separator/>
      </w:r>
    </w:p>
  </w:endnote>
  <w:endnote w:type="continuationSeparator" w:id="1">
    <w:p w:rsidR="00993129" w:rsidRDefault="0099312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129" w:rsidRDefault="00993129" w:rsidP="008C51DC">
      <w:r>
        <w:separator/>
      </w:r>
    </w:p>
  </w:footnote>
  <w:footnote w:type="continuationSeparator" w:id="1">
    <w:p w:rsidR="00993129" w:rsidRDefault="0099312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E1C3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E428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8E1C3C"/>
    <w:rsid w:val="00933793"/>
    <w:rsid w:val="00993129"/>
    <w:rsid w:val="009A70E4"/>
    <w:rsid w:val="00A25CAA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2020-04-06T13:28:00Z</dcterms:created>
  <dcterms:modified xsi:type="dcterms:W3CDTF">2020-04-06T13:28:00Z</dcterms:modified>
</cp:coreProperties>
</file>