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DED" w:rsidRPr="00223DED" w:rsidRDefault="00223DED" w:rsidP="00223DED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23DE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845/1989</w:t>
      </w:r>
    </w:p>
    <w:p w:rsidR="00223DED" w:rsidRPr="00223DED" w:rsidRDefault="00223DED" w:rsidP="00223DE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23DED" w:rsidRPr="00223DED" w:rsidTr="00223DED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3DED" w:rsidRPr="00223DED" w:rsidRDefault="00223DED" w:rsidP="00223DED">
            <w:pPr>
              <w:spacing w:after="0" w:line="240" w:lineRule="auto"/>
              <w:divId w:val="167911496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23DED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Institui a taxa de Iluminação Pública e dá outras Providências.</w:t>
            </w:r>
          </w:p>
        </w:tc>
      </w:tr>
    </w:tbl>
    <w:p w:rsidR="00223DED" w:rsidRPr="00223DED" w:rsidRDefault="00223DED" w:rsidP="00223DED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23DED" w:rsidRPr="00223DED" w:rsidRDefault="00223DED" w:rsidP="00223DE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Povo do Município de Bicas, por seus representantes, decreta e eu sanciono a seguinte Lei:</w:t>
      </w:r>
    </w:p>
    <w:p w:rsidR="00223DED" w:rsidRPr="00223DED" w:rsidRDefault="00223DED" w:rsidP="00223DE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instituída a Taxa de Iluminação Pública, sobre imóvel situado em logradouro já servido de Iluminação Pública ou que dela venha a servir-se, a ser aplicada a partir do exercício de 1990;</w:t>
      </w:r>
    </w:p>
    <w:p w:rsidR="00223DED" w:rsidRPr="00223DED" w:rsidRDefault="00223DED" w:rsidP="00223DE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A Taxa de Iluminação Pública também incidirá sobre o imóvel constituído por lote vago ou lote contendo edificações em construção ou já construídas, porém não consumidores de energia elétrica, </w:t>
      </w:r>
      <w:proofErr w:type="gramStart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situados em logradouros servido de Iluminação Pública</w:t>
      </w:r>
      <w:proofErr w:type="gramEnd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ou que dela venha a servir-se;</w:t>
      </w:r>
    </w:p>
    <w:p w:rsidR="00223DED" w:rsidRPr="00223DED" w:rsidRDefault="00223DED" w:rsidP="00223DE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Parágrafo Único _ O Imóvel que se enquadrar neste artigo será taxado </w:t>
      </w:r>
      <w:proofErr w:type="gramStart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</w:t>
      </w:r>
      <w:proofErr w:type="gramEnd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razão de 1% (um por cento) ao mês, sobre o valor da tarifa de Iluminação Pública vigente no mês de janeiro do ano a que se referir, estabelecido pelo Departamento Nacional de Águas e Energia Elétrica – DNAEE.</w:t>
      </w:r>
    </w:p>
    <w:p w:rsidR="00223DED" w:rsidRPr="00223DED" w:rsidRDefault="00223DED" w:rsidP="00223DE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Observado o disposto no Art. 1º desta Lei, cobra-se à taxa de Iluminação Pública, mensalmente, calculada sobre o Valor da Tarifa de Iluminação Pública vigente, devendo ser adotado nos intervalos de classes indicados, os percentuais correspondentes;</w:t>
      </w:r>
    </w:p>
    <w:p w:rsidR="00223DED" w:rsidRPr="00223DED" w:rsidRDefault="00223DED" w:rsidP="00223DE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Parágrafo Único _ </w:t>
      </w:r>
      <w:proofErr w:type="gramStart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Caso</w:t>
      </w:r>
      <w:proofErr w:type="gramEnd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a Taxa de Iluminação Pública decorrente da aplicação mensal do valor da Tarifa de Iluminação Pública mencionada neste artigo, atinja patamares muito elevados, a ponto de provocar representações junto a Câmara, da metade mais um dos contribuintes, deverá a Edilidade convocar imediata reunião extraordinária para revogar esta Lei em sua totalidade, ou, parcialmente, reduzindo aplicação de seus percentuais a níveis de compatibilidade com as posses da população.</w:t>
      </w:r>
    </w:p>
    <w:p w:rsidR="00223DED" w:rsidRPr="00223DED" w:rsidRDefault="00223DED" w:rsidP="00223DE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Classes                           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Percentuais da Taxa de 1P</w:t>
      </w:r>
    </w:p>
    <w:p w:rsidR="00223DED" w:rsidRPr="00223DED" w:rsidRDefault="00223DED" w:rsidP="00223DE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(</w:t>
      </w:r>
      <w:proofErr w:type="spellStart"/>
      <w:proofErr w:type="gramStart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Kwh</w:t>
      </w:r>
      <w:proofErr w:type="spellEnd"/>
      <w:proofErr w:type="gramEnd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)</w:t>
      </w:r>
    </w:p>
    <w:p w:rsidR="00223DED" w:rsidRPr="00223DED" w:rsidRDefault="00223DED" w:rsidP="00223DE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0 a 30                                                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isento</w:t>
      </w:r>
    </w:p>
    <w:p w:rsidR="00223DED" w:rsidRPr="00223DED" w:rsidRDefault="00223DED" w:rsidP="00223DE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31 a 50                                               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0,5%</w:t>
      </w:r>
    </w:p>
    <w:p w:rsidR="00223DED" w:rsidRPr="00223DED" w:rsidRDefault="00223DED" w:rsidP="00223DE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51 a 100                                              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1,5%</w:t>
      </w:r>
    </w:p>
    <w:p w:rsidR="00223DED" w:rsidRPr="00223DED" w:rsidRDefault="00223DED" w:rsidP="00223DE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101 a 200                                             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3%</w:t>
      </w:r>
    </w:p>
    <w:p w:rsidR="00223DED" w:rsidRPr="00223DED" w:rsidRDefault="00223DED" w:rsidP="00223DE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201 a 300                                             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4%</w:t>
      </w:r>
    </w:p>
    <w:p w:rsidR="00223DED" w:rsidRPr="00223DED" w:rsidRDefault="00223DED" w:rsidP="00223DE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Acima de 300                                                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4%</w:t>
      </w:r>
    </w:p>
    <w:p w:rsidR="00223DED" w:rsidRPr="00223DED" w:rsidRDefault="00223DED" w:rsidP="00223DE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O produto da Taxa ora criado, constituirá receita destinada prioritariamente a cobrir e remunerar os serviços e dispêndios da Municipalidade, decorrentes da instalação, custeio e consumo de energia elétrica para Iluminação Pública, bem como para melhoria e ampliação do serviço;</w:t>
      </w:r>
    </w:p>
    <w:p w:rsidR="00223DED" w:rsidRPr="00223DED" w:rsidRDefault="00223DED" w:rsidP="00223DE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lastRenderedPageBreak/>
        <w:t>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A cobrança de Taxa, relativa ao Art. 1º desta Lei, poderá ser feita diretamente pela Prefeitura Municipal, ou por arrecadação junto às contas particulares de consumo de energia, mediante convênio, a ser celebrado com a Companhia Energética de Minas Gerais – CEMIG – ficando, neste caso, o Poder Executivo desde já autorizado a firmar o referido convênio;</w:t>
      </w:r>
    </w:p>
    <w:p w:rsidR="00223DED" w:rsidRPr="00223DED" w:rsidRDefault="00223DED" w:rsidP="00223DE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6º _ Realizado o Convênio, a CEMIG contabilizará e recolherá, mensalmente, o produto da taxa à carta vinculada, em estabelecimento de crédito escolhido, de comum acordo, pela CEMIG e pela Prefeitura Municipal;</w:t>
      </w:r>
    </w:p>
    <w:p w:rsidR="00223DED" w:rsidRPr="00223DED" w:rsidRDefault="00223DED" w:rsidP="00223DED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223DED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Parágrafo 1º _ A CEMIG apresentará à Prefeitura, mensalmente, a fatura relativa ao fornecimento de energia elétrica acompanhada de um comprovante de arrecadação total da Taxa de Iluminação Pública;</w:t>
      </w:r>
    </w:p>
    <w:p w:rsidR="00223DED" w:rsidRPr="00223DED" w:rsidRDefault="00223DED" w:rsidP="00223DED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Parágrafo 2º _ Quando o saldo desta conta corrente vinculada for insuficiente para cobrir o valor da fatura de fornecimento de energia elétrica, o Executivo Municipal deverá providenciar a liquidação do valor da diferença, </w:t>
      </w:r>
      <w:proofErr w:type="gramStart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de</w:t>
      </w:r>
      <w:proofErr w:type="gramEnd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acordo com os prazos e condições constantes da respectiva fatura;</w:t>
      </w:r>
    </w:p>
    <w:p w:rsidR="00223DED" w:rsidRPr="00223DED" w:rsidRDefault="00223DED" w:rsidP="00223DED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Parágrafo 3º _ O “Superávit” eventual, verificado entre o montante arrecadado da Taxa e o valor da fatura, poderá ser aplicado, pela CEMIG, para quitação parcial ou total de outras faturas </w:t>
      </w:r>
      <w:proofErr w:type="spellStart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subseqüentes</w:t>
      </w:r>
      <w:proofErr w:type="spellEnd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relativos ao fornecimento de energia elétrica à Prefeitura Municipal, e ainda, havendo saldo, poderá ser destinado a custear obras de expansão e / ou melhoramentos do sistema de Iluminação Pública, e de extensão de redes urbanas do Município, caso a Prefeitura autorize;</w:t>
      </w:r>
    </w:p>
    <w:p w:rsidR="00223DED" w:rsidRPr="00223DED" w:rsidRDefault="00223DED" w:rsidP="00223DED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7º _ A cobrança da Taxa, referente ao Art. 2º, desta Lei, será feita diretamente pela Prefeitura Municipal, em conjunto com os impostos predial e territorial;</w:t>
      </w:r>
    </w:p>
    <w:p w:rsidR="00223DED" w:rsidRPr="00223DED" w:rsidRDefault="00223DED" w:rsidP="00223DED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8º _ Esta Lei entrará em vigor na data de sua publicação, revogadas as disposições em contrário.</w:t>
      </w:r>
    </w:p>
    <w:p w:rsidR="00223DED" w:rsidRPr="00223DED" w:rsidRDefault="00223DED" w:rsidP="00223DED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Mando, portanto, a quem o conhecimento e a execução da presente Lei pertencer, que a cumpra e a faça cumprir, tão inteiramente como nela se contém.</w:t>
      </w:r>
    </w:p>
    <w:p w:rsidR="00223DED" w:rsidRPr="00223DED" w:rsidRDefault="00223DED" w:rsidP="00223DE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Sessões, 11 de dezembro de 1989.</w:t>
      </w:r>
    </w:p>
    <w:p w:rsidR="00223DED" w:rsidRPr="00223DED" w:rsidRDefault="00223DED" w:rsidP="00223DE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223DED" w:rsidRPr="00223DED" w:rsidRDefault="00223DED" w:rsidP="00223DE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</w:t>
      </w:r>
    </w:p>
    <w:p w:rsidR="00223DED" w:rsidRPr="00223DED" w:rsidRDefault="00223DED" w:rsidP="00223DED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223DED" w:rsidRPr="00223DED" w:rsidRDefault="00223DED" w:rsidP="00223DED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23DED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3DED"/>
    <w:rsid w:val="00223DED"/>
    <w:rsid w:val="002E517D"/>
    <w:rsid w:val="00AA5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23DE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23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23D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4105</Characters>
  <Application>Microsoft Office Word</Application>
  <DocSecurity>0</DocSecurity>
  <Lines>34</Lines>
  <Paragraphs>9</Paragraphs>
  <ScaleCrop>false</ScaleCrop>
  <Company/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2014-11-05T17:47:00Z</dcterms:created>
  <dcterms:modified xsi:type="dcterms:W3CDTF">2014-11-05T17:47:00Z</dcterms:modified>
</cp:coreProperties>
</file>