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382A1B">
        <w:rPr>
          <w:rFonts w:ascii="Times New (W1)" w:eastAsia="Times New Roman" w:hAnsi="Times New (W1)"/>
          <w:sz w:val="28"/>
          <w:szCs w:val="28"/>
          <w:lang w:eastAsia="pt-BR"/>
        </w:rPr>
        <w:t>112/2023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57748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382A1B" w:rsidRDefault="00382A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pavimentação asfáltica do trecho restante da Estrada Bracinho.</w:t>
      </w:r>
    </w:p>
    <w:p w:rsidR="0057748C" w:rsidRDefault="0057748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382A1B" w:rsidRDefault="00382A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pois, contribuirá para melhor qualidade de vida aos munícipes e para melhor trafegabilidade, visto se tratar de uma via que de acesso à ETA (Estação de Tratamento de Água), a ponte coberta e outros atrativos turísticos.</w:t>
      </w:r>
    </w:p>
    <w:p w:rsidR="0057748C" w:rsidRDefault="0057748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382A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382A1B">
        <w:rPr>
          <w:rFonts w:ascii="Times New Roman" w:eastAsia="Times New Roman" w:hAnsi="Times New Roman"/>
          <w:sz w:val="24"/>
          <w:szCs w:val="28"/>
          <w:lang w:eastAsia="pt-BR"/>
        </w:rPr>
        <w:t>17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382A1B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382A1B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382A1B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382A1B"/>
    <w:rsid w:val="00506EE6"/>
    <w:rsid w:val="0053668A"/>
    <w:rsid w:val="0057748C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CE7E32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CE14"/>
  <w15:chartTrackingRefBased/>
  <w15:docId w15:val="{7F16A853-97C0-4094-8F28-C4B720FF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112-23</Template>
  <TotalTime>15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2023-04-17T17:52:00Z</dcterms:created>
  <dcterms:modified xsi:type="dcterms:W3CDTF">2023-04-17T17:52:00Z</dcterms:modified>
</cp:coreProperties>
</file>