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FDD" w:rsidRPr="001813F9" w:rsidRDefault="00B44FDD" w:rsidP="00B44FDD">
      <w:pPr>
        <w:jc w:val="both"/>
        <w:rPr>
          <w:rFonts w:ascii="Arial" w:hAnsi="Arial" w:cs="Arial"/>
          <w:bCs/>
          <w:sz w:val="24"/>
          <w:szCs w:val="24"/>
        </w:rPr>
      </w:pPr>
      <w:r w:rsidRPr="001813F9">
        <w:rPr>
          <w:rFonts w:ascii="Arial" w:hAnsi="Arial" w:cs="Arial"/>
          <w:bCs/>
          <w:sz w:val="24"/>
          <w:szCs w:val="24"/>
        </w:rPr>
        <w:t xml:space="preserve">OFICIO Nº </w:t>
      </w:r>
      <w:r>
        <w:rPr>
          <w:rFonts w:ascii="Arial" w:hAnsi="Arial" w:cs="Arial"/>
          <w:bCs/>
          <w:sz w:val="24"/>
          <w:szCs w:val="24"/>
        </w:rPr>
        <w:t>444</w:t>
      </w:r>
      <w:r w:rsidRPr="001813F9">
        <w:rPr>
          <w:rFonts w:ascii="Arial" w:hAnsi="Arial" w:cs="Arial"/>
          <w:bCs/>
          <w:sz w:val="24"/>
          <w:szCs w:val="24"/>
        </w:rPr>
        <w:t>/201</w:t>
      </w:r>
      <w:r>
        <w:rPr>
          <w:rFonts w:ascii="Arial" w:hAnsi="Arial" w:cs="Arial"/>
          <w:bCs/>
          <w:sz w:val="24"/>
          <w:szCs w:val="24"/>
        </w:rPr>
        <w:t>8</w:t>
      </w:r>
      <w:r w:rsidRPr="001813F9">
        <w:rPr>
          <w:rFonts w:ascii="Arial" w:hAnsi="Arial" w:cs="Arial"/>
          <w:bCs/>
          <w:sz w:val="24"/>
          <w:szCs w:val="24"/>
        </w:rPr>
        <w:t xml:space="preserve">-GAB, </w:t>
      </w:r>
      <w:bookmarkStart w:id="0" w:name="_GoBack"/>
      <w:bookmarkEnd w:id="0"/>
      <w:r w:rsidRPr="001813F9">
        <w:rPr>
          <w:rFonts w:ascii="Arial" w:hAnsi="Arial" w:cs="Arial"/>
          <w:bCs/>
          <w:sz w:val="24"/>
          <w:szCs w:val="24"/>
        </w:rPr>
        <w:t xml:space="preserve">Estância Velha, de </w:t>
      </w:r>
      <w:r>
        <w:rPr>
          <w:rFonts w:ascii="Arial" w:hAnsi="Arial" w:cs="Arial"/>
          <w:bCs/>
          <w:sz w:val="24"/>
          <w:szCs w:val="24"/>
        </w:rPr>
        <w:t>30</w:t>
      </w:r>
      <w:r w:rsidRPr="001813F9">
        <w:rPr>
          <w:rFonts w:ascii="Arial" w:hAnsi="Arial" w:cs="Arial"/>
          <w:bCs/>
          <w:sz w:val="24"/>
          <w:szCs w:val="24"/>
        </w:rPr>
        <w:t xml:space="preserve"> de julho de 201</w:t>
      </w:r>
      <w:r>
        <w:rPr>
          <w:rFonts w:ascii="Arial" w:hAnsi="Arial" w:cs="Arial"/>
          <w:bCs/>
          <w:sz w:val="24"/>
          <w:szCs w:val="24"/>
        </w:rPr>
        <w:t>8</w:t>
      </w:r>
      <w:r w:rsidRPr="001813F9">
        <w:rPr>
          <w:rFonts w:ascii="Arial" w:hAnsi="Arial" w:cs="Arial"/>
          <w:bCs/>
          <w:sz w:val="24"/>
          <w:szCs w:val="24"/>
        </w:rPr>
        <w:t>.</w:t>
      </w:r>
    </w:p>
    <w:p w:rsidR="00B44FDD" w:rsidRPr="001813F9" w:rsidRDefault="00B44FDD" w:rsidP="00B44FDD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B44FDD" w:rsidRPr="001813F9" w:rsidRDefault="00B44FDD" w:rsidP="00B44FDD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B44FDD" w:rsidRPr="001813F9" w:rsidRDefault="00B44FDD" w:rsidP="00B44FDD">
      <w:pPr>
        <w:ind w:firstLine="2268"/>
        <w:rPr>
          <w:rFonts w:ascii="Arial" w:hAnsi="Arial" w:cs="Arial"/>
          <w:b/>
          <w:bCs/>
          <w:sz w:val="24"/>
          <w:szCs w:val="24"/>
        </w:rPr>
      </w:pPr>
      <w:r w:rsidRPr="001813F9">
        <w:rPr>
          <w:rFonts w:ascii="Arial" w:hAnsi="Arial" w:cs="Arial"/>
          <w:b/>
          <w:bCs/>
          <w:sz w:val="24"/>
          <w:szCs w:val="24"/>
        </w:rPr>
        <w:t>Senhor Presidente,</w:t>
      </w:r>
    </w:p>
    <w:p w:rsidR="00B44FDD" w:rsidRPr="001813F9" w:rsidRDefault="00B44FDD" w:rsidP="00B44FDD">
      <w:pPr>
        <w:ind w:firstLine="2268"/>
        <w:rPr>
          <w:rFonts w:ascii="Arial" w:hAnsi="Arial" w:cs="Arial"/>
          <w:sz w:val="24"/>
          <w:szCs w:val="24"/>
        </w:rPr>
      </w:pPr>
      <w:r w:rsidRPr="001813F9">
        <w:rPr>
          <w:rFonts w:ascii="Arial" w:hAnsi="Arial" w:cs="Arial"/>
          <w:b/>
          <w:bCs/>
          <w:sz w:val="24"/>
          <w:szCs w:val="24"/>
        </w:rPr>
        <w:t>Senhores Vereadores,</w:t>
      </w:r>
    </w:p>
    <w:p w:rsidR="00B44FDD" w:rsidRPr="001813F9" w:rsidRDefault="00B44FDD" w:rsidP="00B44FDD">
      <w:pPr>
        <w:ind w:firstLine="2268"/>
        <w:jc w:val="both"/>
        <w:rPr>
          <w:rFonts w:ascii="Arial" w:hAnsi="Arial" w:cs="Arial"/>
          <w:b/>
          <w:bCs/>
          <w:sz w:val="24"/>
          <w:szCs w:val="24"/>
        </w:rPr>
      </w:pPr>
    </w:p>
    <w:p w:rsidR="00B44FDD" w:rsidRPr="001813F9" w:rsidRDefault="00B44FDD" w:rsidP="00B44FDD">
      <w:pPr>
        <w:ind w:firstLine="2268"/>
        <w:jc w:val="both"/>
        <w:rPr>
          <w:rFonts w:ascii="Arial" w:hAnsi="Arial" w:cs="Arial"/>
          <w:b/>
          <w:bCs/>
          <w:sz w:val="24"/>
          <w:szCs w:val="24"/>
        </w:rPr>
      </w:pPr>
    </w:p>
    <w:p w:rsidR="00B44FDD" w:rsidRPr="001813F9" w:rsidRDefault="00B44FDD" w:rsidP="00B44FDD">
      <w:pPr>
        <w:adjustRightInd w:val="0"/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1813F9">
        <w:rPr>
          <w:rFonts w:ascii="Arial" w:hAnsi="Arial" w:cs="Arial"/>
          <w:sz w:val="24"/>
          <w:szCs w:val="24"/>
        </w:rPr>
        <w:t xml:space="preserve">Estamos encaminhando, incluso a este, o Projeto de Lei que </w:t>
      </w:r>
      <w:r w:rsidRPr="00491214">
        <w:rPr>
          <w:rFonts w:ascii="Arial" w:hAnsi="Arial" w:cs="Arial"/>
          <w:sz w:val="24"/>
          <w:szCs w:val="24"/>
        </w:rPr>
        <w:t xml:space="preserve">“DISPÕE SOBRE AS DIRETRIZES ORÇAMENTÁRIAS PARA A ELABORAÇÃO E EXECUÇÃO DA LEI ORÇAMENTÁRIA PARA O </w:t>
      </w:r>
      <w:r>
        <w:rPr>
          <w:rFonts w:ascii="Arial" w:hAnsi="Arial" w:cs="Arial"/>
          <w:sz w:val="24"/>
          <w:szCs w:val="24"/>
        </w:rPr>
        <w:t>EXERCÍCIO FINANCEIRO DO ANO 2019</w:t>
      </w:r>
      <w:r w:rsidRPr="00491214">
        <w:rPr>
          <w:rFonts w:ascii="Arial" w:hAnsi="Arial" w:cs="Arial"/>
          <w:sz w:val="24"/>
          <w:szCs w:val="24"/>
        </w:rPr>
        <w:t>, E DÁ OUTRAS PROVIDÊNCIAS</w:t>
      </w:r>
      <w:r>
        <w:rPr>
          <w:rFonts w:ascii="Arial" w:hAnsi="Arial" w:cs="Arial"/>
          <w:sz w:val="24"/>
          <w:szCs w:val="24"/>
        </w:rPr>
        <w:t xml:space="preserve">”, </w:t>
      </w:r>
      <w:r w:rsidRPr="001813F9">
        <w:rPr>
          <w:rFonts w:ascii="Arial" w:hAnsi="Arial" w:cs="Arial"/>
          <w:sz w:val="24"/>
          <w:szCs w:val="24"/>
        </w:rPr>
        <w:t xml:space="preserve">para a devida apreciação e votação </w:t>
      </w:r>
      <w:proofErr w:type="gramStart"/>
      <w:r w:rsidRPr="001813F9">
        <w:rPr>
          <w:rFonts w:ascii="Arial" w:hAnsi="Arial" w:cs="Arial"/>
          <w:sz w:val="24"/>
          <w:szCs w:val="24"/>
        </w:rPr>
        <w:t>dos</w:t>
      </w:r>
      <w:proofErr w:type="gramEnd"/>
      <w:r w:rsidRPr="001813F9">
        <w:rPr>
          <w:rFonts w:ascii="Arial" w:hAnsi="Arial" w:cs="Arial"/>
          <w:sz w:val="24"/>
          <w:szCs w:val="24"/>
        </w:rPr>
        <w:t xml:space="preserve"> Nobres Edis.</w:t>
      </w:r>
    </w:p>
    <w:p w:rsidR="00B44FDD" w:rsidRPr="001813F9" w:rsidRDefault="00B44FDD" w:rsidP="00B44FDD">
      <w:pPr>
        <w:adjustRightInd w:val="0"/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44FDD" w:rsidRPr="001813F9" w:rsidRDefault="00B44FDD" w:rsidP="00B44FDD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1813F9">
        <w:rPr>
          <w:rFonts w:ascii="Arial" w:hAnsi="Arial" w:cs="Arial"/>
          <w:sz w:val="24"/>
          <w:szCs w:val="24"/>
        </w:rPr>
        <w:t>Salientamos que estamos remetendo o presente Projeto de Lei das di</w:t>
      </w:r>
      <w:r>
        <w:rPr>
          <w:rFonts w:ascii="Arial" w:hAnsi="Arial" w:cs="Arial"/>
          <w:sz w:val="24"/>
          <w:szCs w:val="24"/>
        </w:rPr>
        <w:t>retrizes orçamentárias para 2019</w:t>
      </w:r>
      <w:r w:rsidRPr="001813F9">
        <w:rPr>
          <w:rFonts w:ascii="Arial" w:hAnsi="Arial" w:cs="Arial"/>
          <w:sz w:val="24"/>
          <w:szCs w:val="24"/>
        </w:rPr>
        <w:t>, de acordo com o estipulado no art. 78, inciso II da Lei Orgânica Municipal.</w:t>
      </w:r>
    </w:p>
    <w:p w:rsidR="00B44FDD" w:rsidRPr="001813F9" w:rsidRDefault="00B44FDD" w:rsidP="00B44FDD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44FDD" w:rsidRPr="001813F9" w:rsidRDefault="00B44FDD" w:rsidP="00B44FDD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1813F9">
        <w:rPr>
          <w:rFonts w:ascii="Arial" w:hAnsi="Arial" w:cs="Arial"/>
          <w:sz w:val="24"/>
          <w:szCs w:val="24"/>
        </w:rPr>
        <w:t>Sendo o que se apresentava para o momento, renovamos votos de elevada estima e distinta consideração.</w:t>
      </w:r>
    </w:p>
    <w:p w:rsidR="00B44FDD" w:rsidRPr="001813F9" w:rsidRDefault="00B44FDD" w:rsidP="00B44FDD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44FDD" w:rsidRPr="001813F9" w:rsidRDefault="00B44FDD" w:rsidP="00B44FDD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1813F9">
        <w:rPr>
          <w:rFonts w:ascii="Arial" w:hAnsi="Arial" w:cs="Arial"/>
          <w:sz w:val="24"/>
          <w:szCs w:val="24"/>
        </w:rPr>
        <w:t>Atenciosamente.</w:t>
      </w:r>
    </w:p>
    <w:p w:rsidR="00B44FDD" w:rsidRPr="001813F9" w:rsidRDefault="00B44FDD" w:rsidP="00B44FD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813F9"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Maria Ivete de Godoy Grade</w:t>
      </w:r>
    </w:p>
    <w:p w:rsidR="00B44FDD" w:rsidRPr="001813F9" w:rsidRDefault="00B44FDD" w:rsidP="00B44FDD">
      <w:pPr>
        <w:jc w:val="both"/>
        <w:rPr>
          <w:rFonts w:ascii="Arial" w:hAnsi="Arial" w:cs="Arial"/>
          <w:sz w:val="24"/>
          <w:szCs w:val="24"/>
        </w:rPr>
      </w:pPr>
      <w:r w:rsidRPr="001813F9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Prefeita</w:t>
      </w:r>
      <w:r w:rsidRPr="001813F9">
        <w:rPr>
          <w:rFonts w:ascii="Arial" w:hAnsi="Arial" w:cs="Arial"/>
          <w:sz w:val="24"/>
          <w:szCs w:val="24"/>
        </w:rPr>
        <w:t xml:space="preserve"> Municipal</w:t>
      </w:r>
    </w:p>
    <w:p w:rsidR="00B44FDD" w:rsidRPr="001813F9" w:rsidRDefault="00B44FDD" w:rsidP="00B44FDD">
      <w:pPr>
        <w:jc w:val="both"/>
        <w:rPr>
          <w:rFonts w:ascii="Arial" w:hAnsi="Arial" w:cs="Arial"/>
          <w:sz w:val="24"/>
          <w:szCs w:val="24"/>
        </w:rPr>
      </w:pPr>
    </w:p>
    <w:p w:rsidR="00B44FDD" w:rsidRPr="001813F9" w:rsidRDefault="00B44FDD" w:rsidP="00B44FDD">
      <w:pPr>
        <w:pStyle w:val="Cabealho"/>
        <w:tabs>
          <w:tab w:val="left" w:pos="70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1813F9">
        <w:rPr>
          <w:rFonts w:ascii="Arial" w:hAnsi="Arial" w:cs="Arial"/>
          <w:sz w:val="24"/>
          <w:szCs w:val="24"/>
        </w:rPr>
        <w:t>o Excelentíssimo Sr.</w:t>
      </w:r>
    </w:p>
    <w:p w:rsidR="00B44FDD" w:rsidRPr="001813F9" w:rsidRDefault="00B44FDD" w:rsidP="00B44FDD">
      <w:pPr>
        <w:pStyle w:val="Cabealho"/>
        <w:tabs>
          <w:tab w:val="left" w:pos="70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Valdeci de Vargas</w:t>
      </w:r>
    </w:p>
    <w:p w:rsidR="00B44FDD" w:rsidRPr="001813F9" w:rsidRDefault="00B44FDD" w:rsidP="00B44FDD">
      <w:pPr>
        <w:pStyle w:val="Cabealho"/>
        <w:tabs>
          <w:tab w:val="left" w:pos="708"/>
        </w:tabs>
        <w:jc w:val="both"/>
        <w:rPr>
          <w:rFonts w:ascii="Arial" w:hAnsi="Arial" w:cs="Arial"/>
          <w:sz w:val="24"/>
          <w:szCs w:val="24"/>
        </w:rPr>
      </w:pPr>
      <w:r w:rsidRPr="001813F9">
        <w:rPr>
          <w:rFonts w:ascii="Arial" w:hAnsi="Arial" w:cs="Arial"/>
          <w:sz w:val="24"/>
          <w:szCs w:val="24"/>
        </w:rPr>
        <w:t>MD Presidente da Câmara de Vereadores</w:t>
      </w:r>
    </w:p>
    <w:p w:rsidR="00B44FDD" w:rsidRPr="001813F9" w:rsidRDefault="00B44FDD" w:rsidP="00B44FDD">
      <w:pPr>
        <w:pStyle w:val="Cabealho"/>
        <w:tabs>
          <w:tab w:val="left" w:pos="708"/>
        </w:tabs>
        <w:jc w:val="both"/>
        <w:rPr>
          <w:rFonts w:ascii="Arial" w:hAnsi="Arial" w:cs="Arial"/>
          <w:sz w:val="24"/>
          <w:szCs w:val="24"/>
        </w:rPr>
      </w:pPr>
      <w:r w:rsidRPr="001813F9">
        <w:rPr>
          <w:rFonts w:ascii="Arial" w:hAnsi="Arial" w:cs="Arial"/>
          <w:sz w:val="24"/>
          <w:szCs w:val="24"/>
        </w:rPr>
        <w:t>Estância Velha/RS</w:t>
      </w:r>
    </w:p>
    <w:p w:rsidR="00B44FDD" w:rsidRPr="00E82801" w:rsidRDefault="00B44FDD" w:rsidP="00B44FDD"/>
    <w:p w:rsidR="00B44FDD" w:rsidRDefault="00840C17" w:rsidP="00840C17">
      <w:pPr>
        <w:pStyle w:val="Ttulo1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</w:p>
    <w:p w:rsidR="00840C17" w:rsidRDefault="00840C17" w:rsidP="00840C17">
      <w:pPr>
        <w:pStyle w:val="Ttulo1"/>
        <w:spacing w:before="0" w:after="0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PROJETO DE LEI                       </w:t>
      </w:r>
    </w:p>
    <w:p w:rsidR="00840C17" w:rsidRDefault="00840C17" w:rsidP="00840C17">
      <w:pPr>
        <w:pStyle w:val="Corpodetexto2"/>
        <w:ind w:left="43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40C17" w:rsidRPr="00584D71" w:rsidRDefault="00584D71" w:rsidP="00840C17">
      <w:pPr>
        <w:pStyle w:val="Corpodetexto2"/>
        <w:spacing w:line="240" w:lineRule="auto"/>
        <w:ind w:left="4320"/>
        <w:jc w:val="both"/>
        <w:rPr>
          <w:rFonts w:ascii="Arial" w:hAnsi="Arial" w:cs="Arial"/>
        </w:rPr>
      </w:pPr>
      <w:r w:rsidRPr="00584D71">
        <w:rPr>
          <w:rFonts w:ascii="Arial" w:hAnsi="Arial" w:cs="Arial"/>
          <w:iCs/>
        </w:rPr>
        <w:t>DISPÕE SOBRE AS DIRETRIZES ORÇAMENTÁRIAS PARA ELABORAÇÃO E EXECUÇÃO DA LEI ORÇAMENTÁRIA PARA O EXERCÍCIO FINANCEIRO DO ANO 2019</w:t>
      </w:r>
      <w:r>
        <w:rPr>
          <w:rFonts w:ascii="Arial" w:hAnsi="Arial" w:cs="Arial"/>
          <w:iCs/>
        </w:rPr>
        <w:t xml:space="preserve">, E DÁ OUTRAS PROVIDÊNCIAS </w:t>
      </w:r>
    </w:p>
    <w:p w:rsidR="00840C17" w:rsidRDefault="00840C17" w:rsidP="00840C17">
      <w:pPr>
        <w:ind w:left="3600"/>
        <w:jc w:val="both"/>
        <w:rPr>
          <w:rFonts w:ascii="Arial" w:hAnsi="Arial" w:cs="Arial"/>
          <w:b/>
          <w:bCs/>
          <w:sz w:val="24"/>
          <w:szCs w:val="24"/>
        </w:rPr>
      </w:pPr>
    </w:p>
    <w:p w:rsidR="00840C17" w:rsidRPr="00AE1485" w:rsidRDefault="00840C17" w:rsidP="00840C17">
      <w:pPr>
        <w:ind w:right="-234"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AE1485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a</w:t>
      </w:r>
      <w:r w:rsidRPr="00AE1485">
        <w:rPr>
          <w:rFonts w:ascii="Arial" w:hAnsi="Arial" w:cs="Arial"/>
          <w:sz w:val="24"/>
          <w:szCs w:val="24"/>
        </w:rPr>
        <w:t xml:space="preserve"> Municipal de Estância Velha/RS. </w:t>
      </w:r>
    </w:p>
    <w:p w:rsidR="00840C17" w:rsidRPr="00AE1485" w:rsidRDefault="00840C17" w:rsidP="00840C17">
      <w:pPr>
        <w:pStyle w:val="Textoembloco"/>
        <w:ind w:left="0" w:right="51" w:firstLine="2268"/>
        <w:jc w:val="both"/>
      </w:pPr>
      <w:r w:rsidRPr="00AE1485">
        <w:t>Faço Saber que o Poder Legislativo aprovou e eu sanciono e</w:t>
      </w:r>
      <w:r>
        <w:t xml:space="preserve"> </w:t>
      </w:r>
      <w:r w:rsidRPr="00AE1485">
        <w:t>promulgo a seguinte Lei:</w:t>
      </w:r>
    </w:p>
    <w:p w:rsidR="00840C17" w:rsidRPr="00F31811" w:rsidRDefault="00840C17" w:rsidP="00840C17">
      <w:pPr>
        <w:spacing w:before="100" w:beforeAutospacing="1"/>
        <w:rPr>
          <w:sz w:val="24"/>
          <w:szCs w:val="24"/>
        </w:rPr>
      </w:pP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CAPÍTULO I</w:t>
      </w: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DISPOSIÇÕES PRELIMINARES</w:t>
      </w:r>
    </w:p>
    <w:p w:rsidR="00840C17" w:rsidRPr="00F31811" w:rsidRDefault="00840C17" w:rsidP="00840C17">
      <w:pPr>
        <w:ind w:firstLine="1418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1º. Ficam estabelecidas, nos termos desta Lei, as diretrizes orçamentárias do Município de Estância Velha, relativas ao exercício financeiro de 201</w:t>
      </w:r>
      <w:r>
        <w:rPr>
          <w:rFonts w:ascii="Arial" w:hAnsi="Arial" w:cs="Arial"/>
          <w:color w:val="000000"/>
          <w:sz w:val="24"/>
          <w:szCs w:val="24"/>
        </w:rPr>
        <w:t>9</w:t>
      </w:r>
      <w:r w:rsidRPr="00F31811">
        <w:rPr>
          <w:rFonts w:ascii="Arial" w:hAnsi="Arial" w:cs="Arial"/>
          <w:color w:val="000000"/>
          <w:sz w:val="24"/>
          <w:szCs w:val="24"/>
        </w:rPr>
        <w:t>, compreendendo:</w:t>
      </w:r>
    </w:p>
    <w:p w:rsidR="00840C17" w:rsidRPr="00F31811" w:rsidRDefault="00840C17" w:rsidP="00840C17">
      <w:pPr>
        <w:ind w:firstLine="1418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 - as diretrizes para a elaboração e execução do orçamento do Município, sua estrutura e organização, e de suas eventuais alterações;</w:t>
      </w:r>
    </w:p>
    <w:p w:rsidR="00840C17" w:rsidRPr="00F31811" w:rsidRDefault="00840C17" w:rsidP="00840C17">
      <w:pPr>
        <w:ind w:firstLine="1418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 - as prioridades e metas da administração pública municipal;</w:t>
      </w:r>
    </w:p>
    <w:p w:rsidR="00840C17" w:rsidRPr="00F31811" w:rsidRDefault="00840C17" w:rsidP="00840C17">
      <w:pPr>
        <w:ind w:firstLine="1418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III - as disposições sobre alterações na legislação tributária do Município;</w:t>
      </w:r>
    </w:p>
    <w:p w:rsidR="00840C17" w:rsidRPr="00F31811" w:rsidRDefault="00840C17" w:rsidP="00840C17">
      <w:pPr>
        <w:ind w:firstLine="1418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IV - as disposições relativas às despesas com pessoal e encargos sociais; e</w:t>
      </w:r>
    </w:p>
    <w:p w:rsidR="00840C17" w:rsidRPr="00F31811" w:rsidRDefault="00840C17" w:rsidP="00840C17">
      <w:pPr>
        <w:ind w:firstLine="1418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V - as disposições gerais.</w:t>
      </w:r>
    </w:p>
    <w:p w:rsidR="00840C17" w:rsidRPr="00F31811" w:rsidRDefault="00840C17" w:rsidP="00840C17">
      <w:pPr>
        <w:ind w:firstLine="1418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Parágrafo único. Integram a presente Lei as metas e riscos fiscais, as prioridades e metas da administração pública municipal, e outros demonstrativos, constantes dos Anexos respectivos.</w:t>
      </w:r>
    </w:p>
    <w:p w:rsidR="00840C17" w:rsidRPr="00F31811" w:rsidRDefault="00840C17" w:rsidP="00840C17">
      <w:pPr>
        <w:jc w:val="both"/>
        <w:rPr>
          <w:sz w:val="24"/>
          <w:szCs w:val="24"/>
        </w:rPr>
      </w:pPr>
    </w:p>
    <w:p w:rsidR="00584D71" w:rsidRDefault="00584D71" w:rsidP="00840C1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3921DF" w:rsidRDefault="003921DF" w:rsidP="00840C1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lastRenderedPageBreak/>
        <w:t>CAPÍTULO II</w:t>
      </w: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DAS DIRETRIZES PARA A ELABORAÇÃO E EXECUÇÃO DO ORÇAMENTO</w:t>
      </w: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Seção I</w:t>
      </w: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Das Diretrizes Gerais</w:t>
      </w:r>
    </w:p>
    <w:p w:rsidR="00840C17" w:rsidRPr="00F31811" w:rsidRDefault="00840C17" w:rsidP="00840C17">
      <w:pPr>
        <w:jc w:val="center"/>
        <w:rPr>
          <w:sz w:val="24"/>
          <w:szCs w:val="24"/>
        </w:rPr>
      </w:pP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2º. A elaboração da proposta orçamentári</w:t>
      </w:r>
      <w:r w:rsidR="00584D71">
        <w:rPr>
          <w:rFonts w:ascii="Arial" w:hAnsi="Arial" w:cs="Arial"/>
          <w:color w:val="000000"/>
          <w:sz w:val="24"/>
          <w:szCs w:val="24"/>
        </w:rPr>
        <w:t>a abrangerá o Poder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Legislativo, Executivo, seus fundos e entidades da administração direta, nos termos da Lei Complementar nº 101, de 2000, observando-se os seguintes objetivos principais: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 - combater a pobreza e promover a cidadania e a inclusão social;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 – promover o desenvolvimento do Município e o crescimento econômico;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III – reestruturação e reorganização dos serviços administrativos, buscando maior eficiência de trabalho e de arrecadação;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IV - assistência à criança e ao adolescente;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V - melhoria</w:t>
      </w:r>
      <w:r w:rsidR="00584D71">
        <w:rPr>
          <w:rFonts w:ascii="Arial" w:hAnsi="Arial" w:cs="Arial"/>
          <w:color w:val="000000"/>
          <w:sz w:val="24"/>
          <w:szCs w:val="24"/>
        </w:rPr>
        <w:t xml:space="preserve"> da infra</w:t>
      </w:r>
      <w:r w:rsidRPr="00F31811">
        <w:rPr>
          <w:rFonts w:ascii="Arial" w:hAnsi="Arial" w:cs="Arial"/>
          <w:color w:val="000000"/>
          <w:sz w:val="24"/>
          <w:szCs w:val="24"/>
        </w:rPr>
        <w:t>estrutura urbana</w:t>
      </w:r>
      <w:r>
        <w:rPr>
          <w:rFonts w:ascii="Arial" w:hAnsi="Arial" w:cs="Arial"/>
          <w:color w:val="000000"/>
          <w:sz w:val="24"/>
          <w:szCs w:val="24"/>
        </w:rPr>
        <w:t>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VI - oferecer assistência médica, odontológica e ambulatorial à população carente, através do Sistema Único de Saúde.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3º. O Projeto de Lei Orçamentária será elaborado em conformidade com as diretrizes fixadas nesta Lei, com o artigo 165, §§ 5º, 6º; 7º, e 8º, da Constituição Federal, com a Lei Federal nº 4.320, de 17 de março de 1964, assim como em conformidade com a Lei Complementar nº 101, de 4 de maio de 2000.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§ 1º. A Lei Orçamentária Anual compreenderá: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 - o orçamento fiscal;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 - o orçamento da seguridade social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§ 2º. O orçamento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fiscal e da seguridade social discriminarão a receita em anexo próprio e de acordo com a classificação constante do Anexo I - Natureza da Receita - da Portaria Interministerial nº 163, de 2001, do Ministério da Fazenda e do Ministério do Planejamento, Orçamento e Gestão.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lastRenderedPageBreak/>
        <w:t>§ 3º. Os orçamentos fisca</w:t>
      </w:r>
      <w:r>
        <w:rPr>
          <w:rFonts w:ascii="Arial" w:hAnsi="Arial" w:cs="Arial"/>
          <w:color w:val="000000"/>
          <w:sz w:val="24"/>
          <w:szCs w:val="24"/>
        </w:rPr>
        <w:t>is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e da seguridade social discriminarão a despesa, com relação à sua natureza, no mínimo, por elemento econômico, de acordo com o que dispõe o artigo 15 da Lei Federal nº 4.320, de 1964.</w:t>
      </w:r>
    </w:p>
    <w:p w:rsidR="00840C17" w:rsidRPr="00F31811" w:rsidRDefault="00840C17" w:rsidP="00840C17">
      <w:pPr>
        <w:jc w:val="both"/>
        <w:rPr>
          <w:sz w:val="24"/>
          <w:szCs w:val="24"/>
        </w:rPr>
      </w:pP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Seção II</w:t>
      </w: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Das Diretrizes Específicas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4º. A proposta orçamentária para o exercício financeiro de 201</w:t>
      </w:r>
      <w:r>
        <w:rPr>
          <w:rFonts w:ascii="Arial" w:hAnsi="Arial" w:cs="Arial"/>
          <w:color w:val="000000"/>
          <w:sz w:val="24"/>
          <w:szCs w:val="24"/>
        </w:rPr>
        <w:t>9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obedecerá às seguintes disposições: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 - cada programa identificará as ações necessárias para atingir os seus objetivos, sob a forma de atividades e projetos, especificando os respectivos valores e metas;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 - as atividades com a mesma finalidade de outras já existentes deverão observar o mesmo código, independentemente da unidade orçamentária;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III - a alocação dos recursos na Lei Orçamentária será efetuada de modo a possibilitar o controle de custos das ações e a avaliação dos resultados dos programas de governo;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IV - na estimativa da receita considerar-se-á a tendência do presente exercício e o incremento da arrecadação decorrente das modificações na legislação tributária;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V - as receitas e despesas serão orçadas segundo os preços vigentes em ju</w:t>
      </w:r>
      <w:r>
        <w:rPr>
          <w:rFonts w:ascii="Arial" w:hAnsi="Arial" w:cs="Arial"/>
          <w:color w:val="000000"/>
          <w:sz w:val="24"/>
          <w:szCs w:val="24"/>
        </w:rPr>
        <w:t>n</w:t>
      </w:r>
      <w:r w:rsidRPr="00F31811">
        <w:rPr>
          <w:rFonts w:ascii="Arial" w:hAnsi="Arial" w:cs="Arial"/>
          <w:color w:val="000000"/>
          <w:sz w:val="24"/>
          <w:szCs w:val="24"/>
        </w:rPr>
        <w:t>ho de 201</w:t>
      </w:r>
      <w:r>
        <w:rPr>
          <w:rFonts w:ascii="Arial" w:hAnsi="Arial" w:cs="Arial"/>
          <w:color w:val="000000"/>
          <w:sz w:val="24"/>
          <w:szCs w:val="24"/>
        </w:rPr>
        <w:t>7</w:t>
      </w:r>
      <w:r w:rsidRPr="00F31811">
        <w:rPr>
          <w:rFonts w:ascii="Arial" w:hAnsi="Arial" w:cs="Arial"/>
          <w:color w:val="000000"/>
          <w:sz w:val="24"/>
          <w:szCs w:val="24"/>
        </w:rPr>
        <w:t>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VI - somente poderá incluir novos projetos, desde que devidamente atendidos aqueles em andamento, bem como após contempladas as despesas de conservação com o patrimônio público;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VII - os recursos legalmente vinculados a finalidade específica deverão ser utilizados exclusivamente para o atendimento do objeto de sua vinculação, ainda que em exercício diverso daquele em que ocorrer o ingresso.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Parágrafo único. Os projetos a serem incluídos na lei orçamentária anual poderão conter previsão de execução por etapas, devidamente definidas nos respectivos cronogramas físico-financeiros.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lastRenderedPageBreak/>
        <w:t>Art. 5º. Para atendimento do disposto nos artigos anteriores, as unidades or</w:t>
      </w:r>
      <w:r>
        <w:rPr>
          <w:rFonts w:ascii="Arial" w:hAnsi="Arial" w:cs="Arial"/>
          <w:color w:val="000000"/>
          <w:sz w:val="24"/>
          <w:szCs w:val="24"/>
        </w:rPr>
        <w:t>ç</w:t>
      </w:r>
      <w:r w:rsidRPr="00F31811">
        <w:rPr>
          <w:rFonts w:ascii="Arial" w:hAnsi="Arial" w:cs="Arial"/>
          <w:color w:val="000000"/>
          <w:sz w:val="24"/>
          <w:szCs w:val="24"/>
        </w:rPr>
        <w:t>amentárias dos Poderes Legislativo e Executivo, encaminharão ao Departamento de Contabilidade e Orçamento da Prefeitura Municipal</w:t>
      </w:r>
      <w:r w:rsidRPr="00F3181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suas propostas parciais até o dia </w:t>
      </w:r>
      <w:r>
        <w:rPr>
          <w:rFonts w:ascii="Arial" w:hAnsi="Arial" w:cs="Arial"/>
          <w:color w:val="000000"/>
          <w:sz w:val="24"/>
          <w:szCs w:val="24"/>
        </w:rPr>
        <w:t>05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de setembro de 201</w:t>
      </w:r>
      <w:r>
        <w:rPr>
          <w:rFonts w:ascii="Arial" w:hAnsi="Arial" w:cs="Arial"/>
          <w:color w:val="000000"/>
          <w:sz w:val="24"/>
          <w:szCs w:val="24"/>
        </w:rPr>
        <w:t>8</w:t>
      </w:r>
      <w:r w:rsidRPr="00F31811">
        <w:rPr>
          <w:rFonts w:ascii="Arial" w:hAnsi="Arial" w:cs="Arial"/>
          <w:color w:val="000000"/>
          <w:sz w:val="24"/>
          <w:szCs w:val="24"/>
        </w:rPr>
        <w:t>.</w:t>
      </w:r>
    </w:p>
    <w:p w:rsidR="00840C17" w:rsidRDefault="00840C17" w:rsidP="00584D71">
      <w:pPr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Parágrafo único. As unidades orçamentárias projetarão suas despesas correntes até o limite fixado para o ano em curso considerado as suplementações, ressalvados os casos de aumento ou diminuição dos serviços a serem prestados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6º. A Lei Orçamentária Anual não poderá prever como receitas de operações de crédito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montante que seja superior ao das despesas de capital, excluídas aquelas por antecipação de receita orçamentária.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7º. A Lei Orçamentária Anual deverá conter reserva de contingência para atendimento de passivos contingentes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outros riscos e eventos fiscais</w:t>
      </w:r>
      <w:r>
        <w:rPr>
          <w:rFonts w:ascii="Arial" w:hAnsi="Arial" w:cs="Arial"/>
          <w:color w:val="000000"/>
          <w:sz w:val="24"/>
          <w:szCs w:val="24"/>
        </w:rPr>
        <w:t xml:space="preserve"> e legais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imprevistos.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 xml:space="preserve">Parágrafo único. A reserva de contingência corresponderá aos valores apurados a partir da situação financeira do mês de junho do corrente exercício, projetados até o seu final, observando-se o limite </w:t>
      </w:r>
      <w:r>
        <w:rPr>
          <w:rFonts w:ascii="Arial" w:hAnsi="Arial" w:cs="Arial"/>
          <w:color w:val="000000"/>
          <w:sz w:val="24"/>
          <w:szCs w:val="24"/>
        </w:rPr>
        <w:t xml:space="preserve">mínimo 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de </w:t>
      </w:r>
      <w:r>
        <w:rPr>
          <w:rFonts w:ascii="Arial" w:hAnsi="Arial" w:cs="Arial"/>
          <w:color w:val="000000"/>
          <w:sz w:val="24"/>
          <w:szCs w:val="24"/>
        </w:rPr>
        <w:t>3% (três por cento)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da receita corrente líquida.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Parágrafo único: na hipótese de ficar demonstrado que a reserva de contingência, constituída para atender os passivos contingentes e outros riscos e eventos fiscais imprevistos, não precisará ser utilizada para sua finalidade no todo ou em parte, o Chefe do Executivo poderá utilizar ser saldo para dar cobertura a outros créditos adicionais, legalmente autorizados na forma dos artigos 41,42 e 43 da Lei Federal nº 4320/1964.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8º. A Lei Orçamentária Anual poderá conter autorização ao Poder Executivo para promover, por Decreto: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 - a transposição, transferência ou remanejamento de recursos, desde que dentro do mesmo órgão e dentro do mesmo programa, obedecida a categoria de programação;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 - a alteração da fonte de recursos, mediante o comportamento do efetivo ingresso das receitas, para melhor atender à programação dela constante.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Parágrafo único. Na execução orçamentária, a transposição, transferência ou remanejamento de recursos e a alteração da fonte de recursos não poderão resultar em alteração dos valores das programações aprovadas na Lei Orçamentária ou em seus créditos adicionais.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9º. A concessão de subvenções sociais, auxílios e contribuições a instituições privadas, que prestem serviços nas áreas de saúde, assistência social e educação, dependerão de autorização legislativa obedecida os padrões mínimos de eficiência previamente fixados pelo Poder Executivo.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§ 1º. As subvenções sociais serão concedidas a instituições privadas sem fins lucrativos que tenham atendimento direto ao público, de forma gratuita.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§ 2º. As concessões de auxílios estarão subordinadas às razões de interesse público e obedecerão às seguintes condições: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 - destinar-se-ão, exclusivamente, às entidades sem fins lucrativos;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 - destinar-se-ão à ampliação, aquisição de equipamentos e de material permanente e instalações.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§ 3º. A destinação de recursos para entidades privadas, a título de contribuições, terá por base serviços prestados a população.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1</w:t>
      </w:r>
      <w:r>
        <w:rPr>
          <w:rFonts w:ascii="Arial" w:hAnsi="Arial" w:cs="Arial"/>
          <w:color w:val="000000"/>
          <w:sz w:val="24"/>
          <w:szCs w:val="24"/>
        </w:rPr>
        <w:t>0</w:t>
      </w:r>
      <w:r w:rsidRPr="00F31811">
        <w:rPr>
          <w:rFonts w:ascii="Arial" w:hAnsi="Arial" w:cs="Arial"/>
          <w:color w:val="000000"/>
          <w:sz w:val="24"/>
          <w:szCs w:val="24"/>
        </w:rPr>
        <w:t>. O custeio, pelo Poder Executivo Municipal, de despesas de competência dos Estados, da União, somente poderá ser realizado: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 - caso se refira a ações de competência comum dos referidos entes da Federação, previstas no artigo 23 da Constituição Federal;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 - se houver expressa autorização em lei específica, detalhando o seu objeto;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III - sejam objeto de celebração de convênio, acordo, ajuste ou instrumento congênere.</w:t>
      </w:r>
    </w:p>
    <w:p w:rsidR="00840C17" w:rsidRDefault="00840C17" w:rsidP="00840C1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Seção III</w:t>
      </w: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Da Execução do Orçamento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1</w:t>
      </w:r>
      <w:r>
        <w:rPr>
          <w:rFonts w:ascii="Arial" w:hAnsi="Arial" w:cs="Arial"/>
          <w:color w:val="000000"/>
          <w:sz w:val="24"/>
          <w:szCs w:val="24"/>
        </w:rPr>
        <w:t>1</w:t>
      </w:r>
      <w:r w:rsidRPr="00F31811">
        <w:rPr>
          <w:rFonts w:ascii="Arial" w:hAnsi="Arial" w:cs="Arial"/>
          <w:color w:val="000000"/>
          <w:sz w:val="24"/>
          <w:szCs w:val="24"/>
        </w:rPr>
        <w:t>. Até trinta dias após a aprovação do orçamento, o Poder Executivo deverá estabelecer a programação financeira e o cronograma de execução mensal de desembolso.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§ 1º. As receitas, conforme as previsões respectivas serão programadas em metas de arrecadações bimestrais, enquanto que os desembolsos financeiros deverão ser fixados em metas mensais.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§ 2º. A programação financeira e o cronograma de desembolso de que tratam este artigo poderão ser revistos no decorrer do exercício financeiro a que se referirem, conforme os resultados apurados em função de sua execução.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1</w:t>
      </w:r>
      <w:r>
        <w:rPr>
          <w:rFonts w:ascii="Arial" w:hAnsi="Arial" w:cs="Arial"/>
          <w:color w:val="000000"/>
          <w:sz w:val="24"/>
          <w:szCs w:val="24"/>
        </w:rPr>
        <w:t>2</w:t>
      </w:r>
      <w:r w:rsidRPr="00F31811">
        <w:rPr>
          <w:rFonts w:ascii="Arial" w:hAnsi="Arial" w:cs="Arial"/>
          <w:color w:val="000000"/>
          <w:sz w:val="24"/>
          <w:szCs w:val="24"/>
        </w:rPr>
        <w:t>. Caso ocorra frustração das metas de arrecadação da receita, comprometendo o equilíbrio entre a receita e a despesa ou mesmo as metas de resultados, será fixada a limitação de empenho e da movimentação financeira.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§ 1º. A limitação de que trata este artigo será fixada de forma proporcional à participação dos Poderes Legislativo e Executivo no total das dotações orçamentárias constantes da Lei Orçamentária de 201</w:t>
      </w:r>
      <w:r>
        <w:rPr>
          <w:rFonts w:ascii="Arial" w:hAnsi="Arial" w:cs="Arial"/>
          <w:color w:val="000000"/>
          <w:sz w:val="24"/>
          <w:szCs w:val="24"/>
        </w:rPr>
        <w:t>9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e de seus créditos adicionais.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§ 2º. A limitação terá como base percentual de redução proporcional ao déficit de arrecadação e será determinada por unidades orçamentárias.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§ 3º. A limitação de empenho e da movimentação financeira será determinada pelos Chefes do Poder Legislativo e Executivo, dando-se, respectivamente, por ato da mesa e por decreto.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§ 4º. Excluem-se da limitação de que tratam este artigo as despesas que constituem obrigação constitucional e legal de execução.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1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F31811">
        <w:rPr>
          <w:rFonts w:ascii="Arial" w:hAnsi="Arial" w:cs="Arial"/>
          <w:color w:val="000000"/>
          <w:sz w:val="24"/>
          <w:szCs w:val="24"/>
        </w:rPr>
        <w:t>. O Poder Legislativo, por ato da mesa, deverá estabelecer até trinta dias após a publicação da Lei Orçamentária de 201</w:t>
      </w:r>
      <w:r>
        <w:rPr>
          <w:rFonts w:ascii="Arial" w:hAnsi="Arial" w:cs="Arial"/>
          <w:color w:val="000000"/>
          <w:sz w:val="24"/>
          <w:szCs w:val="24"/>
        </w:rPr>
        <w:t>9</w:t>
      </w:r>
      <w:r w:rsidRPr="00F31811">
        <w:rPr>
          <w:rFonts w:ascii="Arial" w:hAnsi="Arial" w:cs="Arial"/>
          <w:color w:val="000000"/>
          <w:sz w:val="24"/>
          <w:szCs w:val="24"/>
        </w:rPr>
        <w:t>, o cronograma anual de desembolso mensal para pagamento de suas despesas.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Parágrafo único. O cronograma de que trata este artigo contemplará as despesas correntes e de capital, levando-se em conta os dispêndios mensais para o alcance dos objetivos de seus programas.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1</w:t>
      </w:r>
      <w:r>
        <w:rPr>
          <w:rFonts w:ascii="Arial" w:hAnsi="Arial" w:cs="Arial"/>
          <w:color w:val="000000"/>
          <w:sz w:val="24"/>
          <w:szCs w:val="24"/>
        </w:rPr>
        <w:t>4</w:t>
      </w:r>
      <w:r w:rsidRPr="00F31811">
        <w:rPr>
          <w:rFonts w:ascii="Arial" w:hAnsi="Arial" w:cs="Arial"/>
          <w:color w:val="000000"/>
          <w:sz w:val="24"/>
          <w:szCs w:val="24"/>
        </w:rPr>
        <w:t>. Para efeito de exclusão das normas aplicáveis à criação, expansão ou aperfeiçoamento de ações governamentais que acarretem aumento da despesa, considera-se despesa irrelevante, aquela cujo valor não ultrapasse, para bens e serviços, os limites dos incisos I e II do art. 24, da Lei Federal nº 8.666, de 1993.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1</w:t>
      </w:r>
      <w:r>
        <w:rPr>
          <w:rFonts w:ascii="Arial" w:hAnsi="Arial" w:cs="Arial"/>
          <w:color w:val="000000"/>
          <w:sz w:val="24"/>
          <w:szCs w:val="24"/>
        </w:rPr>
        <w:t>5</w:t>
      </w:r>
      <w:r w:rsidRPr="00F31811">
        <w:rPr>
          <w:rFonts w:ascii="Arial" w:hAnsi="Arial" w:cs="Arial"/>
          <w:color w:val="000000"/>
          <w:sz w:val="24"/>
          <w:szCs w:val="24"/>
        </w:rPr>
        <w:t>. Os atos relativos à concessão ou ampliação de incentivo ou benefício tributário que importem em renúncia de receita deverão obedecer às disposições da Lei Complementar nº 101, de 4 de maio de 2000, devendo estar acompanhados do demonstrativo do impacto orçamentário-financeiro a que se refere o seu artigo 14.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Parágrafo único. Excluem-se os atos relativos ao cancelamento de créditos cujos montantes sejam inferiores aos dos respectivos custos de cobrança, bem como eventuais descontos para pagamento à vista do Imposto Predial e Territorial Urbano, desde que os valores respectivos tenham sido considerados na estimativa da receita.</w:t>
      </w:r>
    </w:p>
    <w:p w:rsidR="00840C17" w:rsidRPr="00F31811" w:rsidRDefault="00840C17" w:rsidP="00840C17">
      <w:pPr>
        <w:jc w:val="center"/>
        <w:rPr>
          <w:sz w:val="24"/>
          <w:szCs w:val="24"/>
        </w:rPr>
      </w:pP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CAPÍTULO III</w:t>
      </w: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DAS PRIORIDADES E METAS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F31811">
        <w:rPr>
          <w:rFonts w:ascii="Arial" w:hAnsi="Arial" w:cs="Arial"/>
          <w:color w:val="000000"/>
          <w:sz w:val="24"/>
          <w:szCs w:val="24"/>
        </w:rPr>
        <w:t>. As prioridades e metas para o exercício financeiro de 201</w:t>
      </w:r>
      <w:r>
        <w:rPr>
          <w:rFonts w:ascii="Arial" w:hAnsi="Arial" w:cs="Arial"/>
          <w:color w:val="000000"/>
          <w:sz w:val="24"/>
          <w:szCs w:val="24"/>
        </w:rPr>
        <w:t>9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são as especificadas no Anexo de Prioridades e Metas, que integra esta Lei, as quais terão precedência na alocação de recursos na Lei Orçamentária de 201</w:t>
      </w:r>
      <w:r>
        <w:rPr>
          <w:rFonts w:ascii="Arial" w:hAnsi="Arial" w:cs="Arial"/>
          <w:color w:val="000000"/>
          <w:sz w:val="24"/>
          <w:szCs w:val="24"/>
        </w:rPr>
        <w:t>9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e na sua execução.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Parágrafo único. As despesas correntes inclusas no orçamento de 201</w:t>
      </w:r>
      <w:r>
        <w:rPr>
          <w:rFonts w:ascii="Arial" w:hAnsi="Arial" w:cs="Arial"/>
          <w:color w:val="000000"/>
          <w:sz w:val="24"/>
          <w:szCs w:val="24"/>
        </w:rPr>
        <w:t>9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serão consideradas como ações relativas a despesas obrigatórias de caráter continuado de ordem legal ou constitucional, nos termos do art. 9º, § 2º, da Lei Complementar nº 101, de 2000.</w:t>
      </w:r>
    </w:p>
    <w:p w:rsidR="00840C17" w:rsidRPr="00F31811" w:rsidRDefault="00840C17" w:rsidP="00840C17">
      <w:pPr>
        <w:rPr>
          <w:sz w:val="24"/>
          <w:szCs w:val="24"/>
        </w:rPr>
      </w:pP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CAPÍTULO IV</w:t>
      </w: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DAS ALTERAÇÕES NA LEGISLAÇÃO TRIBUTÁRIA</w:t>
      </w:r>
    </w:p>
    <w:p w:rsidR="00840C17" w:rsidRPr="00F31811" w:rsidRDefault="00840C17" w:rsidP="00840C17">
      <w:pPr>
        <w:rPr>
          <w:sz w:val="24"/>
          <w:szCs w:val="24"/>
        </w:rPr>
      </w:pP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1</w:t>
      </w:r>
      <w:r>
        <w:rPr>
          <w:rFonts w:ascii="Arial" w:hAnsi="Arial" w:cs="Arial"/>
          <w:color w:val="000000"/>
          <w:sz w:val="24"/>
          <w:szCs w:val="24"/>
        </w:rPr>
        <w:t>7</w:t>
      </w:r>
      <w:r w:rsidRPr="00F31811">
        <w:rPr>
          <w:rFonts w:ascii="Arial" w:hAnsi="Arial" w:cs="Arial"/>
          <w:color w:val="000000"/>
          <w:sz w:val="24"/>
          <w:szCs w:val="24"/>
        </w:rPr>
        <w:t>. O Poder Executivo poderá encaminhar à Câmara Municipal projetos de lei dispondo sobre alterações na legislação tributária, especialmente sobre: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 - revisão e atualização do Código Tributário Municipal, de forma a corrigir distorções;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 - revogações das isenções tributárias que contrariem o interesse público e a justiça fiscal;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III - revisão das taxas, objetivando sua adequação aos custos efetivos dos serviços prestados e ao exercício do poder de polícia do Município;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IV - atualização da Planta Genérica de Valores ajustando-a aos movimentos de valorização do mercado imobiliário;</w:t>
      </w:r>
    </w:p>
    <w:p w:rsidR="00840C17" w:rsidRDefault="00840C17" w:rsidP="00584D71">
      <w:pPr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V - aperfeiçoamento do sistema de fiscalização, cobrança, execução fiscal e arrecadação de tributos.</w:t>
      </w:r>
    </w:p>
    <w:p w:rsidR="00584D71" w:rsidRPr="00F31811" w:rsidRDefault="00584D71" w:rsidP="00584D71">
      <w:pPr>
        <w:ind w:firstLine="1134"/>
        <w:jc w:val="both"/>
        <w:rPr>
          <w:sz w:val="24"/>
          <w:szCs w:val="24"/>
        </w:rPr>
      </w:pP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CAPÍTULO V</w:t>
      </w: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DAS DISPOSIÇÕES RELATIVAS A PESSOAL E ENCARGOS</w:t>
      </w:r>
    </w:p>
    <w:p w:rsidR="00840C17" w:rsidRPr="00F31811" w:rsidRDefault="00840C17" w:rsidP="00840C17">
      <w:pPr>
        <w:rPr>
          <w:sz w:val="24"/>
          <w:szCs w:val="24"/>
        </w:rPr>
      </w:pP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1</w:t>
      </w:r>
      <w:r>
        <w:rPr>
          <w:rFonts w:ascii="Arial" w:hAnsi="Arial" w:cs="Arial"/>
          <w:color w:val="000000"/>
          <w:sz w:val="24"/>
          <w:szCs w:val="24"/>
        </w:rPr>
        <w:t>8</w:t>
      </w:r>
      <w:r w:rsidRPr="00F31811">
        <w:rPr>
          <w:rFonts w:ascii="Arial" w:hAnsi="Arial" w:cs="Arial"/>
          <w:color w:val="000000"/>
          <w:sz w:val="24"/>
          <w:szCs w:val="24"/>
        </w:rPr>
        <w:t>. O Poder Executivo poderá encaminhar projeto de lei visando revisão do sistema de pessoal, particularmente do plano de carreira e salários, incluindo: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 - a concessão, absorção de vantagens e aumento de remuneração de servidores;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 - a criação e a extinção de empregos públicos, bem como a criação e alteração de estrutura de carreira;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III - o provimento de empregos e contratações emergenciais estritamente necessárias, respeitada a legislação municipal vigente.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Parágrafo único - As alterações autorizadas neste artigo dependerão da existência de prévia dotação orçamentária suficiente para atender as projeções de despesa de pessoal e aos acréscimos dela decorrentes.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 xml:space="preserve">Art. </w:t>
      </w:r>
      <w:r>
        <w:rPr>
          <w:rFonts w:ascii="Arial" w:hAnsi="Arial" w:cs="Arial"/>
          <w:color w:val="000000"/>
          <w:sz w:val="24"/>
          <w:szCs w:val="24"/>
        </w:rPr>
        <w:t>19.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O total da despesa com pessoal dos Poderes Executivo e Legislativo no mês, somada com a dos onze meses imediatamente anteriores, apuradas ao final de cada quadrimestre, não poderá exceder o limite máximo de 60% (sessenta por cento), assim dividido: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 - 6% (seis por cento) para o Poder Legislativo;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 - 54% (</w:t>
      </w:r>
      <w:r w:rsidR="003921DF" w:rsidRPr="00F31811">
        <w:rPr>
          <w:rFonts w:ascii="Arial" w:hAnsi="Arial" w:cs="Arial"/>
          <w:color w:val="000000"/>
          <w:sz w:val="24"/>
          <w:szCs w:val="24"/>
        </w:rPr>
        <w:t>cinquenta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e quatro por cento) para o Poder Executivo.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Parágrafo único. Na verificação do atendimento dos limites definidos neste artigo não serão computadas as despesas: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 - de indenização por demissão de servidores ou empregados;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 - relativas a incentivos à demissão voluntária;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III - decorrentes de decisão judicial e da competência de período anterior de que trata o "caput" deste artigo;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IV - com inativos, ainda que por intermédio de fundo específico, custeadas com recursos provenientes: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a) da arrecadação de contribuições dos segurados;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b) da compensação financeira de que trata o § 9º do art. 201 da Constituição Federal;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c) das demais receitas diretamente arrecadadas pelo fundo vinculado à previdência municipal.</w:t>
      </w:r>
    </w:p>
    <w:p w:rsidR="00840C17" w:rsidRPr="00F31811" w:rsidRDefault="00840C17" w:rsidP="00840C17">
      <w:pPr>
        <w:rPr>
          <w:sz w:val="24"/>
          <w:szCs w:val="24"/>
        </w:rPr>
      </w:pP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CAPÍTULO VI</w:t>
      </w:r>
    </w:p>
    <w:p w:rsidR="00840C17" w:rsidRPr="00F31811" w:rsidRDefault="00840C17" w:rsidP="00840C17">
      <w:pPr>
        <w:jc w:val="center"/>
        <w:rPr>
          <w:sz w:val="24"/>
          <w:szCs w:val="24"/>
        </w:rPr>
      </w:pPr>
      <w:r w:rsidRPr="00F31811">
        <w:rPr>
          <w:rFonts w:ascii="Arial" w:hAnsi="Arial" w:cs="Arial"/>
          <w:b/>
          <w:bCs/>
          <w:sz w:val="24"/>
          <w:szCs w:val="24"/>
        </w:rPr>
        <w:t>DAS DISPOSIÇÕES GERAIS</w:t>
      </w:r>
    </w:p>
    <w:p w:rsidR="00840C17" w:rsidRPr="00F31811" w:rsidRDefault="00840C17" w:rsidP="00584D71">
      <w:pPr>
        <w:ind w:firstLine="1134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2</w:t>
      </w:r>
      <w:r>
        <w:rPr>
          <w:rFonts w:ascii="Arial" w:hAnsi="Arial" w:cs="Arial"/>
          <w:color w:val="000000"/>
          <w:sz w:val="24"/>
          <w:szCs w:val="24"/>
        </w:rPr>
        <w:t>0</w:t>
      </w:r>
      <w:r w:rsidRPr="00F31811">
        <w:rPr>
          <w:rFonts w:ascii="Arial" w:hAnsi="Arial" w:cs="Arial"/>
          <w:color w:val="000000"/>
          <w:sz w:val="24"/>
          <w:szCs w:val="24"/>
        </w:rPr>
        <w:t>. Os repasses mensais de recursos financeiros ao Poder Legislativo serão realizados de acordo com o cronograma anual de desembol</w:t>
      </w:r>
      <w:r>
        <w:rPr>
          <w:rFonts w:ascii="Arial" w:hAnsi="Arial" w:cs="Arial"/>
          <w:color w:val="000000"/>
          <w:sz w:val="24"/>
          <w:szCs w:val="24"/>
        </w:rPr>
        <w:t>so mensal de que trata o art. 13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desta Lei, respeitado o limite máximo estabelecido no art. 29-A da Constituição Federal de 1988, introduzido pela Emenda Constitucional nº 25, de 14 de fevereiro de 2000.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§ 1º. Caso a Lei Orçamentária de 201</w:t>
      </w:r>
      <w:r>
        <w:rPr>
          <w:rFonts w:ascii="Arial" w:hAnsi="Arial" w:cs="Arial"/>
          <w:color w:val="000000"/>
          <w:sz w:val="24"/>
          <w:szCs w:val="24"/>
        </w:rPr>
        <w:t>9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tenha contemplado ao Poder Legislativo dotações superiores ao limite máximo previsto no caput deste artigo, aplicar-se-á a limitação de empenho e da movimentação financeira, para o ajuste ao limite.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§ 2º. Na hipótese da ocorrência do previsto no § 1º, deverá o Poder Executivo comunicar o fato ao Poder Legislativo, no prazo de até noventa dias após o início da execução orçamentária respectiva.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§ 3º. No caso da não elaboração do cronograma anual de desembolso mensal, os recursos financeiros serão repassados à razão de 1/12 (um doze avos) por mês, aplicados sobre o total das dotações orçamentárias consignadas ao Poder Legislativo, respeitado, em qualquer caso, o limite máximo previsto na Constituição Federal.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2</w:t>
      </w:r>
      <w:r w:rsidR="003921DF">
        <w:rPr>
          <w:rFonts w:ascii="Arial" w:hAnsi="Arial" w:cs="Arial"/>
          <w:color w:val="000000"/>
          <w:sz w:val="24"/>
          <w:szCs w:val="24"/>
        </w:rPr>
        <w:t>1</w:t>
      </w:r>
      <w:r w:rsidRPr="00F31811">
        <w:rPr>
          <w:rFonts w:ascii="Arial" w:hAnsi="Arial" w:cs="Arial"/>
          <w:color w:val="000000"/>
          <w:sz w:val="24"/>
          <w:szCs w:val="24"/>
        </w:rPr>
        <w:t>. Os projetos de lei relativos a créditos adicionais serão apresentados na forma e com o detalhamento estabelecido na Lei Orçamentária Anual.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Parágrafo único. Os projetos de lei relativos a créditos adicionais solicitados pelo Poder Legislativo, com indicação dos recursos compensatórios, serão encaminhados à Câmara Municipal no prazo de até trinta dias, a contar da data do recebimento do pedido.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2</w:t>
      </w:r>
      <w:r w:rsidR="003921DF">
        <w:rPr>
          <w:rFonts w:ascii="Arial" w:hAnsi="Arial" w:cs="Arial"/>
          <w:color w:val="000000"/>
          <w:sz w:val="24"/>
          <w:szCs w:val="24"/>
        </w:rPr>
        <w:t>2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. Os </w:t>
      </w:r>
      <w:r w:rsidRPr="00F31811">
        <w:rPr>
          <w:rFonts w:ascii="Arial" w:hAnsi="Arial" w:cs="Arial"/>
          <w:sz w:val="24"/>
          <w:szCs w:val="24"/>
        </w:rPr>
        <w:t xml:space="preserve">créditos de natureza tributária, em montante inferior a R$ 500,00 (quinhentos reais) por contribuinte, </w:t>
      </w:r>
      <w:r>
        <w:rPr>
          <w:rFonts w:ascii="Arial" w:hAnsi="Arial" w:cs="Arial"/>
          <w:sz w:val="24"/>
          <w:szCs w:val="24"/>
        </w:rPr>
        <w:t>poderão ser</w:t>
      </w:r>
      <w:r w:rsidRPr="00F31811">
        <w:rPr>
          <w:rFonts w:ascii="Arial" w:hAnsi="Arial" w:cs="Arial"/>
          <w:sz w:val="24"/>
          <w:szCs w:val="24"/>
        </w:rPr>
        <w:t xml:space="preserve"> cancelados nos termos do inciso II, § 3º, do artigo 14, da Lei Complementar nº 101/2000.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2</w:t>
      </w:r>
      <w:r w:rsidR="003921DF">
        <w:rPr>
          <w:rFonts w:ascii="Arial" w:hAnsi="Arial" w:cs="Arial"/>
          <w:color w:val="000000"/>
          <w:sz w:val="24"/>
          <w:szCs w:val="24"/>
        </w:rPr>
        <w:t>3</w: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  <w:r w:rsidRPr="00F31811">
        <w:rPr>
          <w:rFonts w:ascii="Arial" w:hAnsi="Arial" w:cs="Arial"/>
          <w:color w:val="000000"/>
          <w:sz w:val="24"/>
          <w:szCs w:val="24"/>
        </w:rPr>
        <w:t>Caso o projeto de lei orçamentária não seja devolvido para sanção até o encerramento da sessão legislativa, conforme determina o disposto no art. 35, § 2º, inciso III, do Ato das Disposições Constitucionais Transitórias da Constituição Federal, a sua programação poderá ser executada na proporção de 1/12 (um doze avos) do total da despesa orçada, multiplicados pelo número de meses decorridos até a sanção da respectiva lei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:rsidR="00840C17" w:rsidRPr="00F31811" w:rsidRDefault="00840C17" w:rsidP="00584D71">
      <w:pPr>
        <w:ind w:firstLine="1134"/>
        <w:jc w:val="both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Art. 2</w:t>
      </w:r>
      <w:r w:rsidR="003921DF">
        <w:rPr>
          <w:rFonts w:ascii="Arial" w:hAnsi="Arial" w:cs="Arial"/>
          <w:color w:val="000000"/>
          <w:sz w:val="24"/>
          <w:szCs w:val="24"/>
        </w:rPr>
        <w:t>4</w:t>
      </w:r>
      <w:r w:rsidR="00584D71">
        <w:rPr>
          <w:rFonts w:ascii="Arial" w:hAnsi="Arial" w:cs="Arial"/>
          <w:color w:val="000000"/>
          <w:sz w:val="24"/>
          <w:szCs w:val="24"/>
        </w:rPr>
        <w:t>. Esta Lei entra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em vigor na data de sua publicação e </w:t>
      </w:r>
      <w:r w:rsidR="00584D71">
        <w:rPr>
          <w:rFonts w:ascii="Arial" w:hAnsi="Arial" w:cs="Arial"/>
          <w:color w:val="000000"/>
          <w:sz w:val="24"/>
          <w:szCs w:val="24"/>
        </w:rPr>
        <w:t>produzirá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seus efeitos a partir de </w:t>
      </w:r>
      <w:r w:rsidR="00584D71">
        <w:rPr>
          <w:rFonts w:ascii="Arial" w:hAnsi="Arial" w:cs="Arial"/>
          <w:color w:val="000000"/>
          <w:sz w:val="24"/>
          <w:szCs w:val="24"/>
        </w:rPr>
        <w:t xml:space="preserve">1º de </w:t>
      </w:r>
      <w:r w:rsidRPr="00F31811">
        <w:rPr>
          <w:rFonts w:ascii="Arial" w:hAnsi="Arial" w:cs="Arial"/>
          <w:color w:val="000000"/>
          <w:sz w:val="24"/>
          <w:szCs w:val="24"/>
        </w:rPr>
        <w:t>janeiro de 201</w:t>
      </w:r>
      <w:r>
        <w:rPr>
          <w:rFonts w:ascii="Arial" w:hAnsi="Arial" w:cs="Arial"/>
          <w:color w:val="000000"/>
          <w:sz w:val="24"/>
          <w:szCs w:val="24"/>
        </w:rPr>
        <w:t>9</w:t>
      </w:r>
      <w:r w:rsidRPr="00F31811">
        <w:rPr>
          <w:rFonts w:ascii="Arial" w:hAnsi="Arial" w:cs="Arial"/>
          <w:color w:val="000000"/>
          <w:sz w:val="24"/>
          <w:szCs w:val="24"/>
        </w:rPr>
        <w:t>.</w:t>
      </w:r>
    </w:p>
    <w:p w:rsidR="00840C17" w:rsidRPr="00F31811" w:rsidRDefault="00840C17" w:rsidP="00840C17">
      <w:pPr>
        <w:rPr>
          <w:sz w:val="24"/>
          <w:szCs w:val="24"/>
        </w:rPr>
      </w:pPr>
    </w:p>
    <w:p w:rsidR="003921DF" w:rsidRDefault="00840C17" w:rsidP="003921DF">
      <w:pPr>
        <w:ind w:firstLine="2340"/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Estância Velha,</w:t>
      </w:r>
      <w:r w:rsidR="003921DF">
        <w:rPr>
          <w:rFonts w:ascii="Arial" w:hAnsi="Arial" w:cs="Arial"/>
          <w:color w:val="000000"/>
          <w:sz w:val="24"/>
          <w:szCs w:val="24"/>
        </w:rPr>
        <w:t xml:space="preserve"> em ...</w:t>
      </w:r>
    </w:p>
    <w:p w:rsidR="003921DF" w:rsidRDefault="003921DF" w:rsidP="003921DF">
      <w:pPr>
        <w:ind w:firstLine="2340"/>
        <w:rPr>
          <w:sz w:val="24"/>
          <w:szCs w:val="24"/>
        </w:rPr>
      </w:pPr>
    </w:p>
    <w:p w:rsidR="00840C17" w:rsidRPr="003921DF" w:rsidRDefault="003921DF" w:rsidP="003921DF">
      <w:pPr>
        <w:spacing w:line="240" w:lineRule="auto"/>
        <w:ind w:firstLine="2340"/>
        <w:jc w:val="right"/>
        <w:rPr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Maria Ivete de Godoy Grade</w:t>
      </w:r>
    </w:p>
    <w:p w:rsidR="00840C17" w:rsidRPr="00F31811" w:rsidRDefault="00840C17" w:rsidP="003921DF">
      <w:pPr>
        <w:spacing w:line="240" w:lineRule="auto"/>
        <w:ind w:left="5664" w:firstLine="708"/>
        <w:jc w:val="right"/>
        <w:rPr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31811">
        <w:rPr>
          <w:rFonts w:ascii="Arial" w:hAnsi="Arial" w:cs="Arial"/>
          <w:color w:val="000000"/>
          <w:sz w:val="24"/>
          <w:szCs w:val="24"/>
        </w:rPr>
        <w:t>Prefeit</w:t>
      </w:r>
      <w:r>
        <w:rPr>
          <w:rFonts w:ascii="Arial" w:hAnsi="Arial" w:cs="Arial"/>
          <w:color w:val="000000"/>
          <w:sz w:val="24"/>
          <w:szCs w:val="24"/>
        </w:rPr>
        <w:t>a</w:t>
      </w:r>
      <w:r w:rsidRPr="00F31811">
        <w:rPr>
          <w:rFonts w:ascii="Arial" w:hAnsi="Arial" w:cs="Arial"/>
          <w:color w:val="000000"/>
          <w:sz w:val="24"/>
          <w:szCs w:val="24"/>
        </w:rPr>
        <w:t xml:space="preserve"> Municipal</w:t>
      </w:r>
    </w:p>
    <w:p w:rsidR="00840C17" w:rsidRPr="00F31811" w:rsidRDefault="00840C17" w:rsidP="00840C17">
      <w:pPr>
        <w:rPr>
          <w:sz w:val="24"/>
          <w:szCs w:val="24"/>
        </w:rPr>
      </w:pPr>
      <w:r w:rsidRPr="00F31811">
        <w:rPr>
          <w:rFonts w:ascii="Arial" w:hAnsi="Arial" w:cs="Arial"/>
          <w:color w:val="000000"/>
          <w:sz w:val="24"/>
          <w:szCs w:val="24"/>
        </w:rPr>
        <w:t>Registre-se e Publique-se</w:t>
      </w:r>
    </w:p>
    <w:p w:rsidR="00840C17" w:rsidRPr="006F4CA4" w:rsidRDefault="00840C17" w:rsidP="00840C17">
      <w:pPr>
        <w:rPr>
          <w:rFonts w:ascii="Arial" w:hAnsi="Arial" w:cs="Arial"/>
          <w:sz w:val="24"/>
          <w:szCs w:val="24"/>
        </w:rPr>
      </w:pPr>
    </w:p>
    <w:p w:rsidR="00840C17" w:rsidRDefault="003921DF" w:rsidP="003921DF">
      <w:pPr>
        <w:spacing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Aurea Regina Silva de Brito Bauer</w:t>
      </w:r>
    </w:p>
    <w:p w:rsidR="003921DF" w:rsidRDefault="003921DF" w:rsidP="003921DF">
      <w:pPr>
        <w:spacing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Secretária da Administração e Segurança Pública</w:t>
      </w:r>
    </w:p>
    <w:p w:rsidR="00840C17" w:rsidRDefault="00840C17" w:rsidP="00840C17">
      <w:pPr>
        <w:rPr>
          <w:rFonts w:ascii="Arial" w:hAnsi="Arial" w:cs="Arial"/>
          <w:color w:val="000000"/>
          <w:sz w:val="24"/>
          <w:szCs w:val="24"/>
        </w:rPr>
      </w:pPr>
    </w:p>
    <w:p w:rsidR="00D53A7B" w:rsidRPr="00840C17" w:rsidRDefault="00D53A7B" w:rsidP="00840C17"/>
    <w:sectPr w:rsidR="00D53A7B" w:rsidRPr="00840C17" w:rsidSect="0041168C">
      <w:headerReference w:type="default" r:id="rId7"/>
      <w:pgSz w:w="11907" w:h="16840" w:code="9"/>
      <w:pgMar w:top="2552" w:right="1134" w:bottom="1134" w:left="1701" w:header="0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329" w:rsidRDefault="007F7329" w:rsidP="003066C8">
      <w:pPr>
        <w:spacing w:after="0" w:line="240" w:lineRule="auto"/>
      </w:pPr>
      <w:r>
        <w:separator/>
      </w:r>
    </w:p>
  </w:endnote>
  <w:endnote w:type="continuationSeparator" w:id="0">
    <w:p w:rsidR="007F7329" w:rsidRDefault="007F7329" w:rsidP="00306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329" w:rsidRDefault="007F7329" w:rsidP="003066C8">
      <w:pPr>
        <w:spacing w:after="0" w:line="240" w:lineRule="auto"/>
      </w:pPr>
      <w:r>
        <w:separator/>
      </w:r>
    </w:p>
  </w:footnote>
  <w:footnote w:type="continuationSeparator" w:id="0">
    <w:p w:rsidR="007F7329" w:rsidRDefault="007F7329" w:rsidP="003066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A7B" w:rsidRDefault="00D53A7B">
    <w:pPr>
      <w:pStyle w:val="Cabealho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44FDD">
      <w:rPr>
        <w:noProof/>
      </w:rPr>
      <w:t>11</w:t>
    </w:r>
    <w:r>
      <w:fldChar w:fldCharType="end"/>
    </w:r>
  </w:p>
  <w:p w:rsidR="00D53A7B" w:rsidRDefault="00D53A7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hyphenationZone w:val="425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6B6F"/>
    <w:rsid w:val="00046933"/>
    <w:rsid w:val="00062223"/>
    <w:rsid w:val="000651FC"/>
    <w:rsid w:val="0006753E"/>
    <w:rsid w:val="00072093"/>
    <w:rsid w:val="000974F4"/>
    <w:rsid w:val="000C5A3A"/>
    <w:rsid w:val="00114E34"/>
    <w:rsid w:val="00117EC6"/>
    <w:rsid w:val="001A690E"/>
    <w:rsid w:val="001B2243"/>
    <w:rsid w:val="001B5D01"/>
    <w:rsid w:val="001C0A6C"/>
    <w:rsid w:val="002042BA"/>
    <w:rsid w:val="00240B22"/>
    <w:rsid w:val="00247B6B"/>
    <w:rsid w:val="00255F53"/>
    <w:rsid w:val="00290531"/>
    <w:rsid w:val="00293CB1"/>
    <w:rsid w:val="00293EF5"/>
    <w:rsid w:val="002A0EED"/>
    <w:rsid w:val="002A101A"/>
    <w:rsid w:val="002D34E8"/>
    <w:rsid w:val="002E6667"/>
    <w:rsid w:val="002F7D01"/>
    <w:rsid w:val="003066C8"/>
    <w:rsid w:val="00321BED"/>
    <w:rsid w:val="00327EA4"/>
    <w:rsid w:val="003321A9"/>
    <w:rsid w:val="00332FC7"/>
    <w:rsid w:val="003344A6"/>
    <w:rsid w:val="003467E4"/>
    <w:rsid w:val="003915A7"/>
    <w:rsid w:val="003921DF"/>
    <w:rsid w:val="003D6875"/>
    <w:rsid w:val="003F0F40"/>
    <w:rsid w:val="0041168C"/>
    <w:rsid w:val="00441CF6"/>
    <w:rsid w:val="00456901"/>
    <w:rsid w:val="00462903"/>
    <w:rsid w:val="00471FED"/>
    <w:rsid w:val="00480A1F"/>
    <w:rsid w:val="00483EFD"/>
    <w:rsid w:val="004922F8"/>
    <w:rsid w:val="00492A5F"/>
    <w:rsid w:val="004C4DF0"/>
    <w:rsid w:val="004C507B"/>
    <w:rsid w:val="005229D6"/>
    <w:rsid w:val="00553160"/>
    <w:rsid w:val="00554E85"/>
    <w:rsid w:val="00576F6B"/>
    <w:rsid w:val="00577B17"/>
    <w:rsid w:val="00584D71"/>
    <w:rsid w:val="005B2B2F"/>
    <w:rsid w:val="005B7BF2"/>
    <w:rsid w:val="005E0D2E"/>
    <w:rsid w:val="005F3780"/>
    <w:rsid w:val="00627285"/>
    <w:rsid w:val="00633DBB"/>
    <w:rsid w:val="0063458C"/>
    <w:rsid w:val="0066221C"/>
    <w:rsid w:val="006A6C7A"/>
    <w:rsid w:val="006A7829"/>
    <w:rsid w:val="006F79E1"/>
    <w:rsid w:val="007140D3"/>
    <w:rsid w:val="0072707B"/>
    <w:rsid w:val="00735160"/>
    <w:rsid w:val="007432B8"/>
    <w:rsid w:val="00790D62"/>
    <w:rsid w:val="007D44E0"/>
    <w:rsid w:val="007F7329"/>
    <w:rsid w:val="00840C17"/>
    <w:rsid w:val="008413F3"/>
    <w:rsid w:val="0085060D"/>
    <w:rsid w:val="00855760"/>
    <w:rsid w:val="0089340C"/>
    <w:rsid w:val="008E329D"/>
    <w:rsid w:val="008F244C"/>
    <w:rsid w:val="008F2ED6"/>
    <w:rsid w:val="008F30DC"/>
    <w:rsid w:val="00910676"/>
    <w:rsid w:val="009336E5"/>
    <w:rsid w:val="00937450"/>
    <w:rsid w:val="00947AE7"/>
    <w:rsid w:val="009A2B33"/>
    <w:rsid w:val="009D43C7"/>
    <w:rsid w:val="009E10A4"/>
    <w:rsid w:val="009F59B9"/>
    <w:rsid w:val="00A12880"/>
    <w:rsid w:val="00A16A97"/>
    <w:rsid w:val="00A47C55"/>
    <w:rsid w:val="00A50190"/>
    <w:rsid w:val="00A543CC"/>
    <w:rsid w:val="00A55BE2"/>
    <w:rsid w:val="00A7199A"/>
    <w:rsid w:val="00A85215"/>
    <w:rsid w:val="00AF064B"/>
    <w:rsid w:val="00B24C87"/>
    <w:rsid w:val="00B3439D"/>
    <w:rsid w:val="00B44FDD"/>
    <w:rsid w:val="00B53E0B"/>
    <w:rsid w:val="00B64B81"/>
    <w:rsid w:val="00B93799"/>
    <w:rsid w:val="00BC2C39"/>
    <w:rsid w:val="00BC7871"/>
    <w:rsid w:val="00BF6B45"/>
    <w:rsid w:val="00C04B5C"/>
    <w:rsid w:val="00C07E31"/>
    <w:rsid w:val="00CA4726"/>
    <w:rsid w:val="00CD1D1C"/>
    <w:rsid w:val="00CF42A5"/>
    <w:rsid w:val="00D0708A"/>
    <w:rsid w:val="00D16EA1"/>
    <w:rsid w:val="00D26172"/>
    <w:rsid w:val="00D42E99"/>
    <w:rsid w:val="00D514FF"/>
    <w:rsid w:val="00D53A7B"/>
    <w:rsid w:val="00D85D20"/>
    <w:rsid w:val="00DA135E"/>
    <w:rsid w:val="00DC0562"/>
    <w:rsid w:val="00DC1D9C"/>
    <w:rsid w:val="00DE54A2"/>
    <w:rsid w:val="00DF6A37"/>
    <w:rsid w:val="00E13166"/>
    <w:rsid w:val="00E169A2"/>
    <w:rsid w:val="00E3180C"/>
    <w:rsid w:val="00E31BF8"/>
    <w:rsid w:val="00E857DA"/>
    <w:rsid w:val="00E94F40"/>
    <w:rsid w:val="00F30B1E"/>
    <w:rsid w:val="00F33E64"/>
    <w:rsid w:val="00F473B6"/>
    <w:rsid w:val="00F74260"/>
    <w:rsid w:val="00F86B6F"/>
    <w:rsid w:val="00F93ED8"/>
    <w:rsid w:val="00F96A91"/>
    <w:rsid w:val="00FA7755"/>
    <w:rsid w:val="00FD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B11304-40FF-40BD-8E2E-46FEA8C0F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57D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locked/>
    <w:rsid w:val="0004693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046933"/>
    <w:pPr>
      <w:keepNext/>
      <w:spacing w:after="0" w:line="360" w:lineRule="auto"/>
      <w:jc w:val="center"/>
      <w:outlineLvl w:val="1"/>
    </w:pPr>
    <w:rPr>
      <w:rFonts w:ascii="Arial" w:hAnsi="Arial" w:cs="Arial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9"/>
    <w:qFormat/>
    <w:locked/>
    <w:rsid w:val="00046933"/>
    <w:pPr>
      <w:keepNext/>
      <w:suppressAutoHyphens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har"/>
    <w:uiPriority w:val="99"/>
    <w:qFormat/>
    <w:locked/>
    <w:rsid w:val="00046933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46933"/>
    <w:pPr>
      <w:suppressAutoHyphens/>
      <w:spacing w:before="240" w:after="60" w:line="240" w:lineRule="auto"/>
      <w:outlineLvl w:val="5"/>
    </w:pPr>
    <w:rPr>
      <w:rFonts w:ascii="Times New Roman" w:hAnsi="Times New Roman" w:cs="Times New Roman"/>
      <w:b/>
      <w:bCs/>
      <w:lang w:eastAsia="ar-SA"/>
    </w:rPr>
  </w:style>
  <w:style w:type="character" w:default="1" w:styleId="Fontepargpadro">
    <w:name w:val="Default Paragraph Font"/>
    <w:uiPriority w:val="99"/>
    <w:semiHidden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5A6ED2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tulo2Char">
    <w:name w:val="Título 2 Char"/>
    <w:link w:val="Ttulo2"/>
    <w:uiPriority w:val="9"/>
    <w:semiHidden/>
    <w:rsid w:val="005A6ED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Ttulo3Char">
    <w:name w:val="Título 3 Char"/>
    <w:link w:val="Ttulo3"/>
    <w:uiPriority w:val="9"/>
    <w:semiHidden/>
    <w:rsid w:val="005A6ED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Ttulo4Char">
    <w:name w:val="Título 4 Char"/>
    <w:link w:val="Ttulo4"/>
    <w:uiPriority w:val="9"/>
    <w:semiHidden/>
    <w:rsid w:val="005A6ED2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Ttulo6Char">
    <w:name w:val="Título 6 Char"/>
    <w:link w:val="Ttulo6"/>
    <w:uiPriority w:val="9"/>
    <w:semiHidden/>
    <w:rsid w:val="005A6ED2"/>
    <w:rPr>
      <w:rFonts w:ascii="Calibri" w:eastAsia="Times New Roman" w:hAnsi="Calibri" w:cs="Times New Roman"/>
      <w:b/>
      <w:bCs/>
      <w:lang w:eastAsia="en-US"/>
    </w:rPr>
  </w:style>
  <w:style w:type="paragraph" w:customStyle="1" w:styleId="capitulo">
    <w:name w:val="capitulo"/>
    <w:basedOn w:val="Normal"/>
    <w:uiPriority w:val="99"/>
    <w:rsid w:val="00A1288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2">
    <w:name w:val="parag2"/>
    <w:basedOn w:val="Normal"/>
    <w:uiPriority w:val="99"/>
    <w:rsid w:val="00A1288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066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locked/>
    <w:rsid w:val="003066C8"/>
  </w:style>
  <w:style w:type="paragraph" w:styleId="Rodap">
    <w:name w:val="footer"/>
    <w:basedOn w:val="Normal"/>
    <w:link w:val="RodapChar"/>
    <w:uiPriority w:val="99"/>
    <w:semiHidden/>
    <w:rsid w:val="003066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3066C8"/>
  </w:style>
  <w:style w:type="paragraph" w:styleId="Corpodetexto">
    <w:name w:val="Body Text"/>
    <w:basedOn w:val="Normal"/>
    <w:link w:val="CorpodetextoChar"/>
    <w:uiPriority w:val="99"/>
    <w:rsid w:val="00046933"/>
    <w:pPr>
      <w:spacing w:after="0" w:line="360" w:lineRule="auto"/>
      <w:jc w:val="both"/>
    </w:pPr>
    <w:rPr>
      <w:rFonts w:ascii="Arial" w:hAnsi="Arial" w:cs="Arial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99"/>
    <w:semiHidden/>
    <w:rsid w:val="005A6ED2"/>
    <w:rPr>
      <w:rFonts w:cs="Calibri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04693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5A6ED2"/>
    <w:rPr>
      <w:rFonts w:cs="Calibri"/>
      <w:lang w:eastAsia="en-US"/>
    </w:rPr>
  </w:style>
  <w:style w:type="character" w:customStyle="1" w:styleId="textonoticia1">
    <w:name w:val="textonoticia1"/>
    <w:uiPriority w:val="99"/>
    <w:rsid w:val="00046933"/>
    <w:rPr>
      <w:rFonts w:ascii="Arial" w:hAnsi="Arial" w:cs="Arial"/>
      <w:sz w:val="24"/>
      <w:szCs w:val="24"/>
    </w:rPr>
  </w:style>
  <w:style w:type="paragraph" w:customStyle="1" w:styleId="Recuodecorpodetexto21">
    <w:name w:val="Recuo de corpo de texto 21"/>
    <w:basedOn w:val="Normal"/>
    <w:uiPriority w:val="99"/>
    <w:rsid w:val="00046933"/>
    <w:pPr>
      <w:suppressAutoHyphens/>
      <w:spacing w:after="0" w:line="249" w:lineRule="exact"/>
      <w:ind w:firstLine="1701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046933"/>
    <w:pPr>
      <w:widowControl w:val="0"/>
      <w:suppressAutoHyphens/>
      <w:spacing w:after="0" w:line="240" w:lineRule="auto"/>
      <w:ind w:firstLine="1701"/>
    </w:pPr>
    <w:rPr>
      <w:rFonts w:ascii="Courier New" w:hAnsi="Courier New" w:cs="Courier New"/>
      <w:sz w:val="24"/>
      <w:szCs w:val="24"/>
      <w:lang w:eastAsia="ar-SA"/>
    </w:rPr>
  </w:style>
  <w:style w:type="character" w:styleId="nfase">
    <w:name w:val="Emphasis"/>
    <w:uiPriority w:val="99"/>
    <w:qFormat/>
    <w:locked/>
    <w:rsid w:val="00046933"/>
    <w:rPr>
      <w:i/>
      <w:iCs/>
    </w:rPr>
  </w:style>
  <w:style w:type="paragraph" w:customStyle="1" w:styleId="Legenda1">
    <w:name w:val="Legenda1"/>
    <w:basedOn w:val="Normal"/>
    <w:next w:val="Normal"/>
    <w:uiPriority w:val="99"/>
    <w:rsid w:val="00046933"/>
    <w:pPr>
      <w:suppressAutoHyphens/>
      <w:spacing w:after="0" w:line="240" w:lineRule="auto"/>
      <w:jc w:val="center"/>
    </w:pPr>
    <w:rPr>
      <w:rFonts w:ascii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DA135E"/>
    <w:rPr>
      <w:color w:val="0000FF"/>
      <w:u w:val="single"/>
    </w:rPr>
  </w:style>
  <w:style w:type="paragraph" w:customStyle="1" w:styleId="A313172">
    <w:name w:val="_A313172"/>
    <w:rsid w:val="00CF42A5"/>
    <w:pPr>
      <w:autoSpaceDE w:val="0"/>
      <w:autoSpaceDN w:val="0"/>
      <w:ind w:left="4320" w:right="57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30576">
    <w:name w:val="_A230576"/>
    <w:rsid w:val="00CF42A5"/>
    <w:pPr>
      <w:autoSpaceDE w:val="0"/>
      <w:autoSpaceDN w:val="0"/>
      <w:ind w:left="576" w:firstLine="2592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30572">
    <w:name w:val="_A230572"/>
    <w:rsid w:val="00CF42A5"/>
    <w:pPr>
      <w:autoSpaceDE w:val="0"/>
      <w:autoSpaceDN w:val="0"/>
      <w:ind w:left="576" w:right="576" w:firstLine="2592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30574">
    <w:name w:val="_A230574"/>
    <w:rsid w:val="00CF42A5"/>
    <w:pPr>
      <w:autoSpaceDE w:val="0"/>
      <w:autoSpaceDN w:val="0"/>
      <w:ind w:left="576" w:right="288" w:firstLine="2592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90574">
    <w:name w:val="_A290574"/>
    <w:rsid w:val="00CF42A5"/>
    <w:pPr>
      <w:autoSpaceDE w:val="0"/>
      <w:autoSpaceDN w:val="0"/>
      <w:ind w:left="576" w:right="288" w:firstLine="345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470572">
    <w:name w:val="_A470572"/>
    <w:rsid w:val="00CF42A5"/>
    <w:pPr>
      <w:autoSpaceDE w:val="0"/>
      <w:autoSpaceDN w:val="0"/>
      <w:ind w:left="576" w:right="576" w:firstLine="6048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050572">
    <w:name w:val="_A050572"/>
    <w:rsid w:val="00CF42A5"/>
    <w:pPr>
      <w:autoSpaceDE w:val="0"/>
      <w:autoSpaceDN w:val="0"/>
      <w:ind w:left="576" w:right="57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080572">
    <w:name w:val="_A080572"/>
    <w:rsid w:val="00CF42A5"/>
    <w:pPr>
      <w:autoSpaceDE w:val="0"/>
      <w:autoSpaceDN w:val="0"/>
      <w:ind w:left="576" w:right="576" w:firstLine="432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5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735160"/>
    <w:rPr>
      <w:rFonts w:ascii="Segoe UI" w:hAnsi="Segoe UI" w:cs="Segoe UI"/>
      <w:sz w:val="18"/>
      <w:szCs w:val="18"/>
      <w:lang w:eastAsia="en-US"/>
    </w:rPr>
  </w:style>
  <w:style w:type="paragraph" w:customStyle="1" w:styleId="A140574">
    <w:name w:val="_A140574"/>
    <w:rsid w:val="000651FC"/>
    <w:pPr>
      <w:autoSpaceDE w:val="0"/>
      <w:autoSpaceDN w:val="0"/>
      <w:ind w:left="576" w:firstLine="129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16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C507B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4C507B"/>
    <w:rPr>
      <w:rFonts w:cs="Calibri"/>
      <w:sz w:val="22"/>
      <w:szCs w:val="22"/>
      <w:lang w:val="pt-BR"/>
    </w:rPr>
  </w:style>
  <w:style w:type="paragraph" w:styleId="Textoembloco">
    <w:name w:val="Block Text"/>
    <w:basedOn w:val="Normal"/>
    <w:rsid w:val="004C507B"/>
    <w:pPr>
      <w:autoSpaceDE w:val="0"/>
      <w:autoSpaceDN w:val="0"/>
      <w:spacing w:after="0" w:line="240" w:lineRule="auto"/>
      <w:ind w:left="720" w:right="-234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apple-converted-space">
    <w:name w:val="apple-converted-space"/>
    <w:rsid w:val="004C507B"/>
  </w:style>
  <w:style w:type="paragraph" w:styleId="PargrafodaLista">
    <w:name w:val="List Paragraph"/>
    <w:basedOn w:val="Normal"/>
    <w:uiPriority w:val="34"/>
    <w:qFormat/>
    <w:rsid w:val="003D6875"/>
    <w:pPr>
      <w:ind w:left="720"/>
      <w:contextualSpacing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9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2626</Words>
  <Characters>14600</Characters>
  <Application>Microsoft Office Word</Application>
  <DocSecurity>4</DocSecurity>
  <Lines>121</Lines>
  <Paragraphs>34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Projeto de Lei Nº</vt:lpstr>
      <vt:lpstr>Projeto de Lei Nº</vt:lpstr>
    </vt:vector>
  </TitlesOfParts>
  <Company>Pref. Mun. de Estância Velha</Company>
  <LinksUpToDate>false</LinksUpToDate>
  <CharactersWithSpaces>17192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Pref. Mun. de Estância Velha</dc:creator>
  <cp:keywords/>
  <cp:lastModifiedBy>USUARIO</cp:lastModifiedBy>
  <cp:revision>2</cp:revision>
  <cp:lastPrinted>2017-03-24T13:20:00Z</cp:lastPrinted>
  <dcterms:created xsi:type="dcterms:W3CDTF">2018-08-03T15:39:00Z</dcterms:created>
  <dcterms:modified xsi:type="dcterms:W3CDTF">2018-08-03T15:39:00Z</dcterms:modified>
</cp:coreProperties>
</file>