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5DA4C600" w:rsidR="004B01EA" w:rsidRPr="002C5FC2" w:rsidRDefault="004B01EA" w:rsidP="00130B12">
      <w:pPr>
        <w:jc w:val="both"/>
        <w:rPr>
          <w:rFonts w:ascii="Cambria" w:hAnsi="Cambria" w:cstheme="minorHAnsi"/>
          <w:color w:val="000000" w:themeColor="text1"/>
        </w:rPr>
      </w:pPr>
      <w:r w:rsidRPr="002C5FC2">
        <w:rPr>
          <w:rFonts w:ascii="Cambria" w:hAnsi="Cambria" w:cstheme="minorHAnsi"/>
          <w:color w:val="000000" w:themeColor="text1"/>
        </w:rPr>
        <w:t>À Mesa Diretora</w:t>
      </w:r>
    </w:p>
    <w:p w14:paraId="0D06EC52" w14:textId="77777777" w:rsidR="00EC6CB2" w:rsidRPr="002C5FC2" w:rsidRDefault="00EC6CB2" w:rsidP="00130B12">
      <w:pPr>
        <w:jc w:val="both"/>
        <w:rPr>
          <w:rFonts w:ascii="Cambria" w:hAnsi="Cambria" w:cstheme="minorHAnsi"/>
          <w:b/>
          <w:color w:val="000000" w:themeColor="text1"/>
        </w:rPr>
      </w:pPr>
    </w:p>
    <w:p w14:paraId="6889655D" w14:textId="217292D8" w:rsidR="001E371C" w:rsidRPr="002C5FC2" w:rsidRDefault="004B01EA" w:rsidP="00130B12">
      <w:pPr>
        <w:jc w:val="center"/>
        <w:rPr>
          <w:rFonts w:ascii="Cambria" w:hAnsi="Cambria" w:cstheme="minorHAnsi"/>
          <w:b/>
          <w:color w:val="000000" w:themeColor="text1"/>
        </w:rPr>
      </w:pPr>
      <w:r w:rsidRPr="002C5FC2">
        <w:rPr>
          <w:rFonts w:ascii="Cambria" w:hAnsi="Cambria" w:cstheme="minorHAnsi"/>
          <w:b/>
          <w:color w:val="000000" w:themeColor="text1"/>
        </w:rPr>
        <w:t xml:space="preserve">EMENDA </w:t>
      </w:r>
      <w:r w:rsidR="00FE588B" w:rsidRPr="002C5FC2">
        <w:rPr>
          <w:rFonts w:ascii="Cambria" w:hAnsi="Cambria" w:cstheme="minorHAnsi"/>
          <w:b/>
          <w:color w:val="000000" w:themeColor="text1"/>
        </w:rPr>
        <w:t>MODIFICATIVA</w:t>
      </w:r>
      <w:r w:rsidRPr="002C5FC2">
        <w:rPr>
          <w:rFonts w:ascii="Cambria" w:hAnsi="Cambria" w:cstheme="minorHAnsi"/>
          <w:b/>
          <w:color w:val="000000" w:themeColor="text1"/>
        </w:rPr>
        <w:t xml:space="preserve"> </w:t>
      </w:r>
      <w:r w:rsidR="00F80B12" w:rsidRPr="002C5FC2">
        <w:rPr>
          <w:rFonts w:ascii="Cambria" w:hAnsi="Cambria" w:cstheme="minorHAnsi"/>
          <w:b/>
          <w:color w:val="000000" w:themeColor="text1"/>
        </w:rPr>
        <w:t>N.</w:t>
      </w:r>
      <w:r w:rsidR="00813B8A" w:rsidRPr="002C5FC2">
        <w:rPr>
          <w:rFonts w:ascii="Cambria" w:hAnsi="Cambria" w:cstheme="minorHAnsi"/>
          <w:b/>
          <w:color w:val="000000" w:themeColor="text1"/>
        </w:rPr>
        <w:t>º</w:t>
      </w:r>
      <w:r w:rsidR="00F80B12" w:rsidRPr="002C5FC2">
        <w:rPr>
          <w:rFonts w:ascii="Cambria" w:hAnsi="Cambria" w:cstheme="minorHAnsi"/>
          <w:b/>
          <w:color w:val="000000" w:themeColor="text1"/>
        </w:rPr>
        <w:t xml:space="preserve"> </w:t>
      </w:r>
      <w:r w:rsidR="00322C91">
        <w:rPr>
          <w:rFonts w:ascii="Cambria" w:hAnsi="Cambria" w:cstheme="minorHAnsi"/>
          <w:b/>
          <w:color w:val="000000" w:themeColor="text1"/>
        </w:rPr>
        <w:t>61</w:t>
      </w:r>
      <w:r w:rsidR="00F80B12" w:rsidRPr="002C5FC2">
        <w:rPr>
          <w:rFonts w:ascii="Cambria" w:hAnsi="Cambria" w:cstheme="minorHAnsi"/>
          <w:b/>
          <w:color w:val="000000" w:themeColor="text1"/>
        </w:rPr>
        <w:t>/202</w:t>
      </w:r>
      <w:r w:rsidR="00332BCA" w:rsidRPr="002C5FC2">
        <w:rPr>
          <w:rFonts w:ascii="Cambria" w:hAnsi="Cambria" w:cstheme="minorHAnsi"/>
          <w:b/>
          <w:color w:val="000000" w:themeColor="text1"/>
        </w:rPr>
        <w:t>5</w:t>
      </w:r>
    </w:p>
    <w:p w14:paraId="3F0EDECB" w14:textId="77777777" w:rsidR="004B01EA" w:rsidRPr="002C5FC2" w:rsidRDefault="004B01EA" w:rsidP="00130B12">
      <w:pPr>
        <w:jc w:val="both"/>
        <w:rPr>
          <w:rFonts w:ascii="Cambria" w:hAnsi="Cambria" w:cstheme="minorHAnsi"/>
          <w:b/>
          <w:color w:val="000000" w:themeColor="text1"/>
        </w:rPr>
      </w:pPr>
    </w:p>
    <w:p w14:paraId="0DA0B73F" w14:textId="1E894865" w:rsidR="001E371C" w:rsidRPr="002C5FC2" w:rsidRDefault="001E371C" w:rsidP="00130B12">
      <w:pPr>
        <w:jc w:val="both"/>
        <w:rPr>
          <w:rFonts w:ascii="Cambria" w:hAnsi="Cambria" w:cstheme="minorHAnsi"/>
          <w:color w:val="000000" w:themeColor="text1"/>
        </w:rPr>
      </w:pPr>
      <w:bookmarkStart w:id="0" w:name="_Hlk146184502"/>
      <w:r w:rsidRPr="002C5FC2">
        <w:rPr>
          <w:rFonts w:ascii="Cambria" w:hAnsi="Cambria" w:cstheme="minorHAnsi"/>
          <w:b/>
          <w:color w:val="000000" w:themeColor="text1"/>
        </w:rPr>
        <w:t>PROPOSIÇÃO:</w:t>
      </w:r>
      <w:r w:rsidRPr="002C5FC2">
        <w:rPr>
          <w:rFonts w:ascii="Cambria" w:hAnsi="Cambria" w:cstheme="minorHAnsi"/>
          <w:color w:val="000000" w:themeColor="text1"/>
        </w:rPr>
        <w:t xml:space="preserve"> Projeto de Lei</w:t>
      </w:r>
      <w:r w:rsidR="00FF2104" w:rsidRPr="002C5FC2">
        <w:rPr>
          <w:rFonts w:ascii="Cambria" w:hAnsi="Cambria" w:cstheme="minorHAnsi"/>
          <w:color w:val="000000" w:themeColor="text1"/>
        </w:rPr>
        <w:t xml:space="preserve"> </w:t>
      </w:r>
      <w:r w:rsidR="00793FBA" w:rsidRPr="002C5FC2">
        <w:rPr>
          <w:rFonts w:ascii="Cambria" w:hAnsi="Cambria" w:cstheme="minorHAnsi"/>
          <w:color w:val="000000" w:themeColor="text1"/>
        </w:rPr>
        <w:t>Ordinária</w:t>
      </w:r>
      <w:r w:rsidRPr="002C5FC2">
        <w:rPr>
          <w:rFonts w:ascii="Cambria" w:hAnsi="Cambria" w:cstheme="minorHAnsi"/>
          <w:color w:val="000000" w:themeColor="text1"/>
        </w:rPr>
        <w:t xml:space="preserve"> </w:t>
      </w:r>
      <w:r w:rsidR="00793FBA" w:rsidRPr="002C5FC2">
        <w:rPr>
          <w:rFonts w:ascii="Cambria" w:hAnsi="Cambria" w:cstheme="minorHAnsi"/>
          <w:color w:val="000000" w:themeColor="text1"/>
        </w:rPr>
        <w:t xml:space="preserve">n.º </w:t>
      </w:r>
      <w:r w:rsidR="00322C91">
        <w:rPr>
          <w:rFonts w:ascii="Cambria" w:hAnsi="Cambria" w:cstheme="minorHAnsi"/>
          <w:color w:val="000000" w:themeColor="text1"/>
        </w:rPr>
        <w:t>70</w:t>
      </w:r>
      <w:r w:rsidRPr="002C5FC2">
        <w:rPr>
          <w:rFonts w:ascii="Cambria" w:hAnsi="Cambria" w:cstheme="minorHAnsi"/>
          <w:color w:val="000000" w:themeColor="text1"/>
        </w:rPr>
        <w:t>/202</w:t>
      </w:r>
      <w:r w:rsidR="00793FBA" w:rsidRPr="002C5FC2">
        <w:rPr>
          <w:rFonts w:ascii="Cambria" w:hAnsi="Cambria" w:cstheme="minorHAnsi"/>
          <w:color w:val="000000" w:themeColor="text1"/>
        </w:rPr>
        <w:t>5</w:t>
      </w:r>
    </w:p>
    <w:p w14:paraId="69A2B6E3" w14:textId="547102F8" w:rsidR="001E371C" w:rsidRPr="002C5FC2" w:rsidRDefault="001E371C" w:rsidP="00130B12">
      <w:pPr>
        <w:jc w:val="both"/>
        <w:rPr>
          <w:rFonts w:ascii="Cambria" w:hAnsi="Cambria" w:cstheme="minorHAnsi"/>
          <w:color w:val="000000" w:themeColor="text1"/>
        </w:rPr>
      </w:pPr>
      <w:r w:rsidRPr="002C5FC2">
        <w:rPr>
          <w:rFonts w:ascii="Cambria" w:hAnsi="Cambria" w:cstheme="minorHAnsi"/>
          <w:b/>
          <w:color w:val="000000" w:themeColor="text1"/>
        </w:rPr>
        <w:t>AUTORIA:</w:t>
      </w:r>
      <w:r w:rsidRPr="002C5FC2">
        <w:rPr>
          <w:rFonts w:ascii="Cambria" w:hAnsi="Cambria" w:cstheme="minorHAnsi"/>
          <w:color w:val="000000" w:themeColor="text1"/>
        </w:rPr>
        <w:t xml:space="preserve"> </w:t>
      </w:r>
      <w:r w:rsidR="00C400B0" w:rsidRPr="002C5FC2">
        <w:rPr>
          <w:rFonts w:ascii="Cambria" w:hAnsi="Cambria" w:cstheme="minorHAnsi"/>
          <w:color w:val="000000" w:themeColor="text1"/>
        </w:rPr>
        <w:t xml:space="preserve">Comissão de </w:t>
      </w:r>
      <w:r w:rsidR="00892C00" w:rsidRPr="002C5FC2">
        <w:rPr>
          <w:rFonts w:ascii="Cambria" w:hAnsi="Cambria" w:cstheme="minorHAnsi"/>
          <w:color w:val="000000" w:themeColor="text1"/>
        </w:rPr>
        <w:t>Finanças e Orçamento</w:t>
      </w:r>
    </w:p>
    <w:p w14:paraId="065B1270" w14:textId="4043487C" w:rsidR="004B01EA" w:rsidRPr="002C5FC2" w:rsidRDefault="004B01EA" w:rsidP="00130B12">
      <w:pPr>
        <w:jc w:val="both"/>
        <w:rPr>
          <w:rFonts w:ascii="Cambria" w:hAnsi="Cambria" w:cstheme="minorHAnsi"/>
          <w:b/>
          <w:color w:val="000000" w:themeColor="text1"/>
        </w:rPr>
      </w:pPr>
    </w:p>
    <w:p w14:paraId="6EDF142C" w14:textId="59E13AFD" w:rsidR="004B01EA" w:rsidRPr="002C5FC2" w:rsidRDefault="004B01EA" w:rsidP="00130B12">
      <w:pPr>
        <w:jc w:val="both"/>
        <w:rPr>
          <w:rFonts w:ascii="Cambria" w:hAnsi="Cambria" w:cstheme="minorHAnsi"/>
          <w:color w:val="000000" w:themeColor="text1"/>
        </w:rPr>
      </w:pPr>
      <w:r w:rsidRPr="002C5FC2">
        <w:rPr>
          <w:rFonts w:ascii="Cambria" w:hAnsi="Cambria" w:cstheme="minorHAnsi"/>
          <w:color w:val="000000" w:themeColor="text1"/>
        </w:rPr>
        <w:t>O</w:t>
      </w:r>
      <w:r w:rsidR="00F5104E" w:rsidRPr="002C5FC2">
        <w:rPr>
          <w:rFonts w:ascii="Cambria" w:hAnsi="Cambria" w:cstheme="minorHAnsi"/>
          <w:color w:val="000000" w:themeColor="text1"/>
        </w:rPr>
        <w:t>s</w:t>
      </w:r>
      <w:r w:rsidRPr="002C5FC2">
        <w:rPr>
          <w:rFonts w:ascii="Cambria" w:hAnsi="Cambria" w:cstheme="minorHAnsi"/>
          <w:color w:val="000000" w:themeColor="text1"/>
        </w:rPr>
        <w:t xml:space="preserve"> vereador</w:t>
      </w:r>
      <w:r w:rsidR="00F5104E" w:rsidRPr="002C5FC2">
        <w:rPr>
          <w:rFonts w:ascii="Cambria" w:hAnsi="Cambria" w:cstheme="minorHAnsi"/>
          <w:color w:val="000000" w:themeColor="text1"/>
        </w:rPr>
        <w:t>es</w:t>
      </w:r>
      <w:r w:rsidRPr="002C5FC2">
        <w:rPr>
          <w:rFonts w:ascii="Cambria" w:hAnsi="Cambria" w:cstheme="minorHAnsi"/>
          <w:color w:val="000000" w:themeColor="text1"/>
        </w:rPr>
        <w:t xml:space="preserve"> que a</w:t>
      </w:r>
      <w:r w:rsidR="001E371C" w:rsidRPr="002C5FC2">
        <w:rPr>
          <w:rFonts w:ascii="Cambria" w:hAnsi="Cambria" w:cstheme="minorHAnsi"/>
          <w:color w:val="000000" w:themeColor="text1"/>
        </w:rPr>
        <w:t>o final</w:t>
      </w:r>
      <w:r w:rsidRPr="002C5FC2">
        <w:rPr>
          <w:rFonts w:ascii="Cambria" w:hAnsi="Cambria" w:cstheme="minorHAnsi"/>
          <w:color w:val="000000" w:themeColor="text1"/>
        </w:rPr>
        <w:t xml:space="preserve"> subscreve</w:t>
      </w:r>
      <w:r w:rsidR="00F5104E" w:rsidRPr="002C5FC2">
        <w:rPr>
          <w:rFonts w:ascii="Cambria" w:hAnsi="Cambria" w:cstheme="minorHAnsi"/>
          <w:color w:val="000000" w:themeColor="text1"/>
        </w:rPr>
        <w:t>m</w:t>
      </w:r>
      <w:r w:rsidR="001E371C" w:rsidRPr="002C5FC2">
        <w:rPr>
          <w:rFonts w:ascii="Cambria" w:hAnsi="Cambria" w:cstheme="minorHAnsi"/>
          <w:color w:val="000000" w:themeColor="text1"/>
        </w:rPr>
        <w:t>,</w:t>
      </w:r>
      <w:r w:rsidRPr="002C5FC2">
        <w:rPr>
          <w:rFonts w:ascii="Cambria" w:hAnsi="Cambria" w:cstheme="minorHAnsi"/>
          <w:color w:val="000000" w:themeColor="text1"/>
        </w:rPr>
        <w:t xml:space="preserve"> nos termos do Regimento Interno da Câmara </w:t>
      </w:r>
      <w:r w:rsidR="00793FBA" w:rsidRPr="002C5FC2">
        <w:rPr>
          <w:rFonts w:ascii="Cambria" w:hAnsi="Cambria" w:cstheme="minorHAnsi"/>
          <w:color w:val="000000" w:themeColor="text1"/>
        </w:rPr>
        <w:t>Municipal de Schroeder</w:t>
      </w:r>
      <w:r w:rsidRPr="002C5FC2">
        <w:rPr>
          <w:rFonts w:ascii="Cambria" w:hAnsi="Cambria" w:cstheme="minorHAnsi"/>
          <w:color w:val="000000" w:themeColor="text1"/>
        </w:rPr>
        <w:t>, v</w:t>
      </w:r>
      <w:r w:rsidR="00F5104E" w:rsidRPr="002C5FC2">
        <w:rPr>
          <w:rFonts w:ascii="Cambria" w:hAnsi="Cambria" w:cstheme="minorHAnsi"/>
          <w:color w:val="000000" w:themeColor="text1"/>
        </w:rPr>
        <w:t>ê</w:t>
      </w:r>
      <w:r w:rsidRPr="002C5FC2">
        <w:rPr>
          <w:rFonts w:ascii="Cambria" w:hAnsi="Cambria" w:cstheme="minorHAnsi"/>
          <w:color w:val="000000" w:themeColor="text1"/>
        </w:rPr>
        <w:t>m</w:t>
      </w:r>
      <w:r w:rsidR="001E371C" w:rsidRPr="002C5FC2">
        <w:rPr>
          <w:rFonts w:ascii="Cambria" w:hAnsi="Cambria" w:cstheme="minorHAnsi"/>
          <w:color w:val="000000" w:themeColor="text1"/>
        </w:rPr>
        <w:t>,</w:t>
      </w:r>
      <w:r w:rsidRPr="002C5FC2">
        <w:rPr>
          <w:rFonts w:ascii="Cambria" w:hAnsi="Cambria" w:cstheme="minorHAnsi"/>
          <w:color w:val="000000" w:themeColor="text1"/>
        </w:rPr>
        <w:t xml:space="preserve"> </w:t>
      </w:r>
      <w:r w:rsidR="001E371C" w:rsidRPr="002C5FC2">
        <w:rPr>
          <w:rFonts w:ascii="Cambria" w:hAnsi="Cambria" w:cstheme="minorHAnsi"/>
          <w:color w:val="000000" w:themeColor="text1"/>
        </w:rPr>
        <w:t xml:space="preserve">respeitosamente, </w:t>
      </w:r>
      <w:r w:rsidRPr="002C5FC2">
        <w:rPr>
          <w:rFonts w:ascii="Cambria" w:hAnsi="Cambria" w:cstheme="minorHAnsi"/>
          <w:color w:val="000000" w:themeColor="text1"/>
        </w:rPr>
        <w:t xml:space="preserve">propor </w:t>
      </w:r>
      <w:r w:rsidR="001E371C" w:rsidRPr="002C5FC2">
        <w:rPr>
          <w:rFonts w:ascii="Cambria" w:hAnsi="Cambria" w:cstheme="minorHAnsi"/>
          <w:color w:val="000000" w:themeColor="text1"/>
        </w:rPr>
        <w:t xml:space="preserve">a presente </w:t>
      </w:r>
      <w:r w:rsidRPr="002C5FC2">
        <w:rPr>
          <w:rFonts w:ascii="Cambria" w:hAnsi="Cambria" w:cstheme="minorHAnsi"/>
          <w:b/>
          <w:bCs/>
          <w:color w:val="000000" w:themeColor="text1"/>
        </w:rPr>
        <w:t xml:space="preserve">Emenda </w:t>
      </w:r>
      <w:r w:rsidR="00FE588B" w:rsidRPr="002C5FC2">
        <w:rPr>
          <w:rFonts w:ascii="Cambria" w:hAnsi="Cambria"/>
          <w:b/>
          <w:bCs/>
          <w:color w:val="000000" w:themeColor="text1"/>
        </w:rPr>
        <w:t>Modificativa</w:t>
      </w:r>
      <w:r w:rsidRPr="002C5FC2">
        <w:rPr>
          <w:rFonts w:ascii="Cambria" w:hAnsi="Cambria" w:cstheme="minorHAnsi"/>
          <w:color w:val="000000" w:themeColor="text1"/>
        </w:rPr>
        <w:t xml:space="preserve"> ao </w:t>
      </w:r>
      <w:r w:rsidR="00567552" w:rsidRPr="002C5FC2">
        <w:rPr>
          <w:rFonts w:ascii="Cambria" w:hAnsi="Cambria" w:cstheme="minorHAnsi"/>
          <w:color w:val="000000" w:themeColor="text1"/>
        </w:rPr>
        <w:t xml:space="preserve">Projeto de Lei </w:t>
      </w:r>
      <w:r w:rsidR="00793FBA" w:rsidRPr="002C5FC2">
        <w:rPr>
          <w:rFonts w:ascii="Cambria" w:hAnsi="Cambria" w:cstheme="minorHAnsi"/>
          <w:color w:val="000000" w:themeColor="text1"/>
        </w:rPr>
        <w:t xml:space="preserve">Ordinária </w:t>
      </w:r>
      <w:r w:rsidR="00813B8A" w:rsidRPr="002C5FC2">
        <w:rPr>
          <w:rFonts w:ascii="Cambria" w:hAnsi="Cambria" w:cstheme="minorHAnsi"/>
          <w:color w:val="000000" w:themeColor="text1"/>
        </w:rPr>
        <w:t>n</w:t>
      </w:r>
      <w:r w:rsidR="00793FBA" w:rsidRPr="002C5FC2">
        <w:rPr>
          <w:rFonts w:ascii="Cambria" w:hAnsi="Cambria" w:cstheme="minorHAnsi"/>
          <w:color w:val="000000" w:themeColor="text1"/>
        </w:rPr>
        <w:t>.</w:t>
      </w:r>
      <w:r w:rsidR="00813B8A" w:rsidRPr="002C5FC2">
        <w:rPr>
          <w:rFonts w:ascii="Cambria" w:hAnsi="Cambria" w:cstheme="minorHAnsi"/>
          <w:color w:val="000000" w:themeColor="text1"/>
        </w:rPr>
        <w:t xml:space="preserve">º </w:t>
      </w:r>
      <w:r w:rsidR="00322C91">
        <w:rPr>
          <w:rFonts w:ascii="Cambria" w:hAnsi="Cambria" w:cstheme="minorHAnsi"/>
          <w:color w:val="000000" w:themeColor="text1"/>
        </w:rPr>
        <w:t>70</w:t>
      </w:r>
      <w:r w:rsidR="00793FBA" w:rsidRPr="002C5FC2">
        <w:rPr>
          <w:rFonts w:ascii="Cambria" w:hAnsi="Cambria" w:cstheme="minorHAnsi"/>
          <w:color w:val="000000" w:themeColor="text1"/>
        </w:rPr>
        <w:t>/2025</w:t>
      </w:r>
      <w:r w:rsidRPr="002C5FC2">
        <w:rPr>
          <w:rFonts w:ascii="Cambria" w:hAnsi="Cambria" w:cstheme="minorHAnsi"/>
          <w:color w:val="000000" w:themeColor="text1"/>
        </w:rPr>
        <w:t>, nos seguintes termos:</w:t>
      </w:r>
    </w:p>
    <w:bookmarkEnd w:id="0"/>
    <w:p w14:paraId="7F15D2BE" w14:textId="77777777" w:rsidR="004B01EA" w:rsidRPr="002C5FC2" w:rsidRDefault="004B01EA" w:rsidP="00130B12">
      <w:pPr>
        <w:jc w:val="both"/>
        <w:rPr>
          <w:rFonts w:ascii="Cambria" w:hAnsi="Cambria" w:cstheme="minorHAnsi"/>
          <w:color w:val="000000" w:themeColor="text1"/>
        </w:rPr>
      </w:pPr>
    </w:p>
    <w:p w14:paraId="0F830360" w14:textId="63F5DBCE" w:rsidR="0031509C" w:rsidRPr="002C5FC2" w:rsidRDefault="0031509C" w:rsidP="00322C91">
      <w:pPr>
        <w:contextualSpacing/>
        <w:jc w:val="both"/>
        <w:rPr>
          <w:rFonts w:ascii="Cambria" w:hAnsi="Cambria"/>
          <w:color w:val="000000" w:themeColor="text1"/>
        </w:rPr>
      </w:pPr>
      <w:bookmarkStart w:id="1" w:name="_Hlk136867863"/>
      <w:r w:rsidRPr="002C5FC2">
        <w:rPr>
          <w:rFonts w:ascii="Cambria" w:hAnsi="Cambria"/>
          <w:color w:val="000000" w:themeColor="text1"/>
        </w:rPr>
        <w:t xml:space="preserve">No </w:t>
      </w:r>
      <w:r w:rsidR="0069728D" w:rsidRPr="002C5FC2">
        <w:rPr>
          <w:rFonts w:ascii="Cambria" w:hAnsi="Cambria"/>
          <w:color w:val="000000" w:themeColor="text1"/>
        </w:rPr>
        <w:t xml:space="preserve">art. </w:t>
      </w:r>
      <w:r w:rsidR="00322C91">
        <w:rPr>
          <w:rFonts w:ascii="Cambria" w:hAnsi="Cambria"/>
          <w:color w:val="000000" w:themeColor="text1"/>
        </w:rPr>
        <w:t>10</w:t>
      </w:r>
      <w:r w:rsidRPr="002C5FC2">
        <w:rPr>
          <w:rFonts w:ascii="Cambria" w:hAnsi="Cambria"/>
          <w:color w:val="000000" w:themeColor="text1"/>
        </w:rPr>
        <w:t>, onde se lê:</w:t>
      </w:r>
    </w:p>
    <w:p w14:paraId="20F48DEE" w14:textId="77777777" w:rsidR="0031509C" w:rsidRPr="002C5FC2" w:rsidRDefault="0031509C" w:rsidP="00130B12">
      <w:pPr>
        <w:contextualSpacing/>
        <w:jc w:val="both"/>
        <w:rPr>
          <w:rFonts w:ascii="Cambria" w:hAnsi="Cambria"/>
          <w:color w:val="000000" w:themeColor="text1"/>
        </w:rPr>
      </w:pPr>
    </w:p>
    <w:p w14:paraId="295DE778" w14:textId="2A1BF610" w:rsidR="00322C91" w:rsidRPr="00322C91" w:rsidRDefault="00322C91" w:rsidP="00322C91">
      <w:pPr>
        <w:ind w:left="2268"/>
        <w:contextualSpacing/>
        <w:jc w:val="both"/>
        <w:rPr>
          <w:rFonts w:ascii="Cambria" w:eastAsia="Calibri" w:hAnsi="Cambria"/>
          <w:color w:val="000000" w:themeColor="text1"/>
          <w:lang w:eastAsia="en-US"/>
        </w:rPr>
      </w:pPr>
      <w:r w:rsidRPr="00322C91">
        <w:rPr>
          <w:rFonts w:ascii="Cambria" w:eastAsia="Calibri" w:hAnsi="Cambria"/>
          <w:color w:val="000000" w:themeColor="text1"/>
          <w:lang w:eastAsia="en-US"/>
        </w:rPr>
        <w:t>Art. 10. O Executivo está autorizado, nos termos do Art.7º da Lei Federal n.º 4.320/64, a abrir créditos adicionais suplementares, até o limite de 20% (vinte por cento) da receita estimada para o orçamento do município, utilizando como fonte de recursos:</w:t>
      </w:r>
      <w:r w:rsidRPr="00322C91">
        <w:rPr>
          <w:rFonts w:ascii="Cambria" w:eastAsia="Calibri" w:hAnsi="Cambria"/>
          <w:color w:val="000000" w:themeColor="text1"/>
          <w:lang w:eastAsia="en-US"/>
        </w:rPr>
        <w:tab/>
      </w:r>
    </w:p>
    <w:p w14:paraId="12859CEB" w14:textId="77777777" w:rsidR="00322C91" w:rsidRPr="00322C91" w:rsidRDefault="00322C91" w:rsidP="00322C91">
      <w:pPr>
        <w:ind w:left="2268"/>
        <w:contextualSpacing/>
        <w:jc w:val="both"/>
        <w:rPr>
          <w:rFonts w:ascii="Cambria" w:eastAsia="Calibri" w:hAnsi="Cambria"/>
          <w:color w:val="000000" w:themeColor="text1"/>
          <w:lang w:eastAsia="en-US"/>
        </w:rPr>
      </w:pPr>
    </w:p>
    <w:p w14:paraId="2AE1B14C" w14:textId="77777777" w:rsidR="00322C91" w:rsidRPr="00322C91" w:rsidRDefault="00322C91" w:rsidP="00322C91">
      <w:pPr>
        <w:ind w:left="2268"/>
        <w:contextualSpacing/>
        <w:jc w:val="both"/>
        <w:rPr>
          <w:rFonts w:ascii="Cambria" w:eastAsia="Calibri" w:hAnsi="Cambria"/>
          <w:color w:val="000000" w:themeColor="text1"/>
          <w:lang w:eastAsia="en-US"/>
        </w:rPr>
      </w:pPr>
      <w:r w:rsidRPr="00322C91">
        <w:rPr>
          <w:rFonts w:ascii="Cambria" w:eastAsia="Calibri" w:hAnsi="Cambria"/>
          <w:color w:val="000000" w:themeColor="text1"/>
          <w:lang w:eastAsia="en-US"/>
        </w:rPr>
        <w:t>I - A anulação de saldos de dotações orçamentárias desde que não comprometidas;</w:t>
      </w:r>
    </w:p>
    <w:p w14:paraId="2F5B86DA" w14:textId="77777777" w:rsidR="00322C91" w:rsidRPr="00322C91" w:rsidRDefault="00322C91" w:rsidP="00322C91">
      <w:pPr>
        <w:ind w:left="2268"/>
        <w:contextualSpacing/>
        <w:jc w:val="both"/>
        <w:rPr>
          <w:rFonts w:ascii="Cambria" w:eastAsia="Calibri" w:hAnsi="Cambria"/>
          <w:color w:val="000000" w:themeColor="text1"/>
          <w:lang w:eastAsia="en-US"/>
        </w:rPr>
      </w:pPr>
    </w:p>
    <w:p w14:paraId="655135A8" w14:textId="77777777" w:rsidR="00322C91" w:rsidRPr="00322C91" w:rsidRDefault="00322C91" w:rsidP="00322C91">
      <w:pPr>
        <w:ind w:left="2268"/>
        <w:contextualSpacing/>
        <w:jc w:val="both"/>
        <w:rPr>
          <w:rFonts w:ascii="Cambria" w:eastAsia="Calibri" w:hAnsi="Cambria"/>
          <w:color w:val="000000" w:themeColor="text1"/>
          <w:lang w:eastAsia="en-US"/>
        </w:rPr>
      </w:pPr>
      <w:r w:rsidRPr="00322C91">
        <w:rPr>
          <w:rFonts w:ascii="Cambria" w:eastAsia="Calibri" w:hAnsi="Cambria"/>
          <w:color w:val="000000" w:themeColor="text1"/>
          <w:lang w:eastAsia="en-US"/>
        </w:rPr>
        <w:t>II - O superávit financeiro do exercício anterior;</w:t>
      </w:r>
    </w:p>
    <w:p w14:paraId="77844D69" w14:textId="77777777" w:rsidR="00322C91" w:rsidRPr="00322C91" w:rsidRDefault="00322C91" w:rsidP="00322C91">
      <w:pPr>
        <w:ind w:left="2268"/>
        <w:contextualSpacing/>
        <w:jc w:val="both"/>
        <w:rPr>
          <w:rFonts w:ascii="Cambria" w:eastAsia="Calibri" w:hAnsi="Cambria"/>
          <w:color w:val="000000" w:themeColor="text1"/>
          <w:lang w:eastAsia="en-US"/>
        </w:rPr>
      </w:pPr>
    </w:p>
    <w:p w14:paraId="43512532" w14:textId="299ABE1D" w:rsidR="0069728D" w:rsidRDefault="00322C91" w:rsidP="00322C91">
      <w:pPr>
        <w:ind w:left="2268"/>
        <w:contextualSpacing/>
        <w:jc w:val="both"/>
        <w:rPr>
          <w:rFonts w:ascii="Cambria" w:eastAsia="Calibri" w:hAnsi="Cambria"/>
          <w:color w:val="000000" w:themeColor="text1"/>
          <w:lang w:eastAsia="en-US"/>
        </w:rPr>
      </w:pPr>
      <w:r w:rsidRPr="00322C91">
        <w:rPr>
          <w:rFonts w:ascii="Cambria" w:eastAsia="Calibri" w:hAnsi="Cambria"/>
          <w:color w:val="000000" w:themeColor="text1"/>
          <w:lang w:eastAsia="en-US"/>
        </w:rPr>
        <w:t>III - O excesso ou provável excesso de arrecadação, observada a tendência do exercício.</w:t>
      </w:r>
    </w:p>
    <w:p w14:paraId="28C509F6" w14:textId="77777777" w:rsidR="00322C91" w:rsidRPr="002C5FC2" w:rsidRDefault="00322C91" w:rsidP="00322C91">
      <w:pPr>
        <w:ind w:left="2268"/>
        <w:contextualSpacing/>
        <w:jc w:val="both"/>
        <w:rPr>
          <w:rFonts w:ascii="Cambria" w:hAnsi="Cambria"/>
          <w:color w:val="000000" w:themeColor="text1"/>
        </w:rPr>
      </w:pPr>
    </w:p>
    <w:p w14:paraId="25983F2F" w14:textId="04237578" w:rsidR="0031509C" w:rsidRPr="002C5FC2" w:rsidRDefault="0031509C" w:rsidP="00130B12">
      <w:pPr>
        <w:contextualSpacing/>
        <w:jc w:val="both"/>
        <w:rPr>
          <w:rFonts w:ascii="Cambria" w:hAnsi="Cambria"/>
          <w:color w:val="000000" w:themeColor="text1"/>
        </w:rPr>
      </w:pPr>
      <w:r w:rsidRPr="002C5FC2">
        <w:rPr>
          <w:rFonts w:ascii="Cambria" w:hAnsi="Cambria"/>
          <w:color w:val="000000" w:themeColor="text1"/>
        </w:rPr>
        <w:t xml:space="preserve">Dê-se </w:t>
      </w:r>
      <w:r w:rsidR="0069728D" w:rsidRPr="002C5FC2">
        <w:rPr>
          <w:rFonts w:ascii="Cambria" w:hAnsi="Cambria"/>
          <w:color w:val="000000" w:themeColor="text1"/>
        </w:rPr>
        <w:t xml:space="preserve">ao </w:t>
      </w:r>
      <w:r w:rsidR="00692B9E" w:rsidRPr="002C5FC2">
        <w:rPr>
          <w:rFonts w:ascii="Cambria" w:hAnsi="Cambria"/>
          <w:color w:val="000000" w:themeColor="text1"/>
        </w:rPr>
        <w:t xml:space="preserve">art. </w:t>
      </w:r>
      <w:r w:rsidR="00322C91">
        <w:rPr>
          <w:rFonts w:ascii="Cambria" w:hAnsi="Cambria"/>
          <w:color w:val="000000" w:themeColor="text1"/>
        </w:rPr>
        <w:t>10</w:t>
      </w:r>
      <w:r w:rsidRPr="002C5FC2">
        <w:rPr>
          <w:rFonts w:ascii="Cambria" w:hAnsi="Cambria"/>
          <w:color w:val="000000" w:themeColor="text1"/>
        </w:rPr>
        <w:t>, a seguinte redação:</w:t>
      </w:r>
    </w:p>
    <w:p w14:paraId="20227B7D" w14:textId="77777777" w:rsidR="0031509C" w:rsidRPr="002C5FC2" w:rsidRDefault="0031509C" w:rsidP="00130B12">
      <w:pPr>
        <w:contextualSpacing/>
        <w:jc w:val="both"/>
        <w:rPr>
          <w:rFonts w:ascii="Cambria" w:hAnsi="Cambria"/>
          <w:color w:val="000000" w:themeColor="text1"/>
        </w:rPr>
      </w:pPr>
    </w:p>
    <w:p w14:paraId="6E9A2A8C" w14:textId="3809A228" w:rsidR="00322C91" w:rsidRPr="00322C91" w:rsidRDefault="00322C91" w:rsidP="00322C91">
      <w:pPr>
        <w:ind w:left="2268"/>
        <w:jc w:val="both"/>
        <w:rPr>
          <w:rFonts w:ascii="Cambria" w:eastAsia="Calibri" w:hAnsi="Cambria"/>
          <w:color w:val="000000" w:themeColor="text1"/>
          <w:lang w:eastAsia="en-US"/>
        </w:rPr>
      </w:pPr>
      <w:r w:rsidRPr="00322C91">
        <w:rPr>
          <w:rFonts w:ascii="Cambria" w:eastAsia="Calibri" w:hAnsi="Cambria"/>
          <w:color w:val="000000" w:themeColor="text1"/>
          <w:lang w:eastAsia="en-US"/>
        </w:rPr>
        <w:t>Art. 10. O Executivo está autorizado nos termos do Art.</w:t>
      </w:r>
      <w:r>
        <w:rPr>
          <w:rFonts w:ascii="Cambria" w:eastAsia="Calibri" w:hAnsi="Cambria"/>
          <w:color w:val="000000" w:themeColor="text1"/>
          <w:lang w:eastAsia="en-US"/>
        </w:rPr>
        <w:t xml:space="preserve"> </w:t>
      </w:r>
      <w:r w:rsidRPr="00322C91">
        <w:rPr>
          <w:rFonts w:ascii="Cambria" w:eastAsia="Calibri" w:hAnsi="Cambria"/>
          <w:color w:val="000000" w:themeColor="text1"/>
          <w:lang w:eastAsia="en-US"/>
        </w:rPr>
        <w:t>7º da Lei Federal n</w:t>
      </w:r>
      <w:r>
        <w:rPr>
          <w:rFonts w:ascii="Cambria" w:eastAsia="Calibri" w:hAnsi="Cambria"/>
          <w:color w:val="000000" w:themeColor="text1"/>
          <w:lang w:eastAsia="en-US"/>
        </w:rPr>
        <w:t>.</w:t>
      </w:r>
      <w:r w:rsidRPr="00322C91">
        <w:rPr>
          <w:rFonts w:ascii="Cambria" w:eastAsia="Calibri" w:hAnsi="Cambria"/>
          <w:color w:val="000000" w:themeColor="text1"/>
          <w:lang w:eastAsia="en-US"/>
        </w:rPr>
        <w:t>º</w:t>
      </w:r>
      <w:r>
        <w:rPr>
          <w:rFonts w:ascii="Cambria" w:eastAsia="Calibri" w:hAnsi="Cambria"/>
          <w:color w:val="000000" w:themeColor="text1"/>
          <w:lang w:eastAsia="en-US"/>
        </w:rPr>
        <w:t xml:space="preserve"> </w:t>
      </w:r>
      <w:r w:rsidRPr="00322C91">
        <w:rPr>
          <w:rFonts w:ascii="Cambria" w:eastAsia="Calibri" w:hAnsi="Cambria"/>
          <w:color w:val="000000" w:themeColor="text1"/>
          <w:lang w:eastAsia="en-US"/>
        </w:rPr>
        <w:t>4.320</w:t>
      </w:r>
      <w:r>
        <w:rPr>
          <w:rFonts w:ascii="Cambria" w:eastAsia="Calibri" w:hAnsi="Cambria"/>
          <w:color w:val="000000" w:themeColor="text1"/>
          <w:lang w:eastAsia="en-US"/>
        </w:rPr>
        <w:t xml:space="preserve">, </w:t>
      </w:r>
      <w:r w:rsidRPr="00322C91">
        <w:rPr>
          <w:rFonts w:ascii="Cambria" w:eastAsia="Calibri" w:hAnsi="Cambria"/>
          <w:color w:val="000000" w:themeColor="text1"/>
          <w:lang w:eastAsia="en-US"/>
        </w:rPr>
        <w:t>de 17 de março de 1964, a abrir créditos adicionais suplementares, até o limite de 20% (vinte por cento) da receita estimada para o orçamento de cada uma das unidades gestoras, utilizando como fonte de recursos:</w:t>
      </w:r>
    </w:p>
    <w:p w14:paraId="2B5F4049" w14:textId="77777777" w:rsidR="00322C91" w:rsidRPr="00322C91" w:rsidRDefault="00322C91" w:rsidP="00322C91">
      <w:pPr>
        <w:ind w:left="2268"/>
        <w:jc w:val="both"/>
        <w:rPr>
          <w:rFonts w:ascii="Cambria" w:eastAsia="Calibri" w:hAnsi="Cambria"/>
          <w:color w:val="000000" w:themeColor="text1"/>
          <w:lang w:eastAsia="en-US"/>
        </w:rPr>
      </w:pPr>
    </w:p>
    <w:p w14:paraId="0031FB14" w14:textId="2CC80F0C" w:rsidR="00322C91" w:rsidRPr="00322C91" w:rsidRDefault="00322C91" w:rsidP="00322C91">
      <w:pPr>
        <w:ind w:left="2268"/>
        <w:jc w:val="both"/>
        <w:rPr>
          <w:rFonts w:ascii="Cambria" w:eastAsia="Calibri" w:hAnsi="Cambria"/>
          <w:color w:val="000000" w:themeColor="text1"/>
          <w:lang w:eastAsia="en-US"/>
        </w:rPr>
      </w:pPr>
      <w:r w:rsidRPr="00322C91">
        <w:rPr>
          <w:rFonts w:ascii="Cambria" w:eastAsia="Calibri" w:hAnsi="Cambria"/>
          <w:color w:val="000000" w:themeColor="text1"/>
          <w:lang w:eastAsia="en-US"/>
        </w:rPr>
        <w:t>I</w:t>
      </w:r>
      <w:r>
        <w:rPr>
          <w:rFonts w:ascii="Cambria" w:eastAsia="Calibri" w:hAnsi="Cambria"/>
          <w:color w:val="000000" w:themeColor="text1"/>
          <w:lang w:eastAsia="en-US"/>
        </w:rPr>
        <w:t xml:space="preserve"> -</w:t>
      </w:r>
      <w:r w:rsidRPr="00322C91">
        <w:rPr>
          <w:rFonts w:ascii="Cambria" w:eastAsia="Calibri" w:hAnsi="Cambria"/>
          <w:color w:val="000000" w:themeColor="text1"/>
          <w:lang w:eastAsia="en-US"/>
        </w:rPr>
        <w:t xml:space="preserve"> A anulação de saldos de dotações orçamentárias desde que não comprometidas;</w:t>
      </w:r>
    </w:p>
    <w:p w14:paraId="1879D77B" w14:textId="77777777" w:rsidR="00322C91" w:rsidRPr="00322C91" w:rsidRDefault="00322C91" w:rsidP="00322C91">
      <w:pPr>
        <w:ind w:left="2268"/>
        <w:jc w:val="both"/>
        <w:rPr>
          <w:rFonts w:ascii="Cambria" w:eastAsia="Calibri" w:hAnsi="Cambria"/>
          <w:color w:val="000000" w:themeColor="text1"/>
          <w:lang w:eastAsia="en-US"/>
        </w:rPr>
      </w:pPr>
    </w:p>
    <w:p w14:paraId="154C396B" w14:textId="4B29B4C3" w:rsidR="00322C91" w:rsidRPr="00322C91" w:rsidRDefault="00322C91" w:rsidP="00322C91">
      <w:pPr>
        <w:ind w:left="2268"/>
        <w:jc w:val="both"/>
        <w:rPr>
          <w:rFonts w:ascii="Cambria" w:eastAsia="Calibri" w:hAnsi="Cambria"/>
          <w:color w:val="000000" w:themeColor="text1"/>
          <w:lang w:eastAsia="en-US"/>
        </w:rPr>
      </w:pPr>
      <w:r w:rsidRPr="00322C91">
        <w:rPr>
          <w:rFonts w:ascii="Cambria" w:eastAsia="Calibri" w:hAnsi="Cambria"/>
          <w:color w:val="000000" w:themeColor="text1"/>
          <w:lang w:eastAsia="en-US"/>
        </w:rPr>
        <w:t>II</w:t>
      </w:r>
      <w:r>
        <w:rPr>
          <w:rFonts w:ascii="Cambria" w:eastAsia="Calibri" w:hAnsi="Cambria"/>
          <w:color w:val="000000" w:themeColor="text1"/>
          <w:lang w:eastAsia="en-US"/>
        </w:rPr>
        <w:t xml:space="preserve"> -</w:t>
      </w:r>
      <w:r w:rsidRPr="00322C91">
        <w:rPr>
          <w:rFonts w:ascii="Cambria" w:eastAsia="Calibri" w:hAnsi="Cambria"/>
          <w:color w:val="000000" w:themeColor="text1"/>
          <w:lang w:eastAsia="en-US"/>
        </w:rPr>
        <w:t xml:space="preserve"> O superávit financeiro do exercício anterior;</w:t>
      </w:r>
    </w:p>
    <w:p w14:paraId="28437467" w14:textId="77777777" w:rsidR="00322C91" w:rsidRPr="00322C91" w:rsidRDefault="00322C91" w:rsidP="00322C91">
      <w:pPr>
        <w:ind w:left="2268"/>
        <w:jc w:val="both"/>
        <w:rPr>
          <w:rFonts w:ascii="Cambria" w:eastAsia="Calibri" w:hAnsi="Cambria"/>
          <w:color w:val="000000" w:themeColor="text1"/>
          <w:lang w:eastAsia="en-US"/>
        </w:rPr>
      </w:pPr>
    </w:p>
    <w:p w14:paraId="18728D81" w14:textId="0B8AABAB" w:rsidR="0069728D" w:rsidRPr="002C5FC2" w:rsidRDefault="00322C91" w:rsidP="00322C91">
      <w:pPr>
        <w:ind w:left="2268"/>
        <w:jc w:val="both"/>
        <w:rPr>
          <w:rFonts w:ascii="Cambria" w:eastAsia="Calibri" w:hAnsi="Cambria"/>
          <w:color w:val="000000" w:themeColor="text1"/>
          <w:lang w:eastAsia="en-US"/>
        </w:rPr>
      </w:pPr>
      <w:r w:rsidRPr="00322C91">
        <w:rPr>
          <w:rFonts w:ascii="Cambria" w:eastAsia="Calibri" w:hAnsi="Cambria"/>
          <w:color w:val="000000" w:themeColor="text1"/>
          <w:lang w:eastAsia="en-US"/>
        </w:rPr>
        <w:t>III</w:t>
      </w:r>
      <w:r>
        <w:rPr>
          <w:rFonts w:ascii="Cambria" w:eastAsia="Calibri" w:hAnsi="Cambria"/>
          <w:color w:val="000000" w:themeColor="text1"/>
          <w:lang w:eastAsia="en-US"/>
        </w:rPr>
        <w:t xml:space="preserve"> -</w:t>
      </w:r>
      <w:r w:rsidRPr="00322C91">
        <w:rPr>
          <w:rFonts w:ascii="Cambria" w:eastAsia="Calibri" w:hAnsi="Cambria"/>
          <w:color w:val="000000" w:themeColor="text1"/>
          <w:lang w:eastAsia="en-US"/>
        </w:rPr>
        <w:t xml:space="preserve"> O excesso ou provável excesso de arrecadação observada a tendência do exercício.</w:t>
      </w:r>
    </w:p>
    <w:p w14:paraId="6E667598" w14:textId="77777777" w:rsidR="00EC6CB2" w:rsidRDefault="00EC6CB2" w:rsidP="00130B12">
      <w:pPr>
        <w:tabs>
          <w:tab w:val="left" w:pos="225"/>
          <w:tab w:val="right" w:pos="9070"/>
        </w:tabs>
        <w:jc w:val="both"/>
        <w:rPr>
          <w:rFonts w:ascii="Cambria" w:hAnsi="Cambria" w:cstheme="minorHAnsi"/>
          <w:color w:val="000000" w:themeColor="text1"/>
        </w:rPr>
      </w:pPr>
    </w:p>
    <w:p w14:paraId="25964D31" w14:textId="61DA0BEF" w:rsidR="0015524B" w:rsidRPr="002C5FC2" w:rsidRDefault="008E360B" w:rsidP="00191B4A">
      <w:pPr>
        <w:tabs>
          <w:tab w:val="left" w:pos="225"/>
          <w:tab w:val="right" w:pos="9070"/>
        </w:tabs>
        <w:jc w:val="both"/>
        <w:rPr>
          <w:rFonts w:ascii="Cambria" w:hAnsi="Cambria" w:cstheme="minorHAnsi"/>
          <w:color w:val="000000" w:themeColor="text1"/>
        </w:rPr>
      </w:pPr>
      <w:r w:rsidRPr="002C5FC2">
        <w:rPr>
          <w:rFonts w:ascii="Cambria" w:hAnsi="Cambria" w:cstheme="minorHAnsi"/>
          <w:color w:val="000000" w:themeColor="text1"/>
        </w:rPr>
        <w:t xml:space="preserve">Schroeder, SC, </w:t>
      </w:r>
      <w:r w:rsidR="00322C91">
        <w:rPr>
          <w:rFonts w:ascii="Cambria" w:hAnsi="Cambria" w:cstheme="minorHAnsi"/>
          <w:color w:val="000000" w:themeColor="text1"/>
        </w:rPr>
        <w:t>24 de novembro</w:t>
      </w:r>
      <w:r w:rsidR="00BA6FF8" w:rsidRPr="002C5FC2">
        <w:rPr>
          <w:rFonts w:ascii="Cambria" w:hAnsi="Cambria" w:cstheme="minorHAnsi"/>
          <w:color w:val="000000" w:themeColor="text1"/>
        </w:rPr>
        <w:t xml:space="preserve"> de 2025</w:t>
      </w:r>
      <w:r w:rsidRPr="002C5FC2">
        <w:rPr>
          <w:rFonts w:ascii="Cambria" w:hAnsi="Cambria" w:cstheme="minorHAnsi"/>
          <w:color w:val="000000" w:themeColor="text1"/>
        </w:rPr>
        <w:t>.</w:t>
      </w:r>
    </w:p>
    <w:tbl>
      <w:tblPr>
        <w:tblStyle w:val="Tabelacomgrade"/>
        <w:tblpPr w:leftFromText="141" w:rightFromText="141" w:vertAnchor="text" w:horzAnchor="margin" w:tblpX="425" w:tblpY="24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6"/>
        <w:gridCol w:w="3190"/>
        <w:gridCol w:w="3402"/>
      </w:tblGrid>
      <w:tr w:rsidR="002C5FC2" w:rsidRPr="002C5FC2" w14:paraId="3039F33A" w14:textId="77777777" w:rsidTr="00E9244C">
        <w:trPr>
          <w:trHeight w:val="815"/>
        </w:trPr>
        <w:tc>
          <w:tcPr>
            <w:tcW w:w="3756" w:type="dxa"/>
          </w:tcPr>
          <w:p w14:paraId="3740E11A" w14:textId="77777777" w:rsidR="0031509C" w:rsidRPr="002C5FC2" w:rsidRDefault="0031509C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  <w:p w14:paraId="271C490A" w14:textId="64A00D26" w:rsidR="0031509C" w:rsidRPr="002C5FC2" w:rsidRDefault="0031509C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  <w:r w:rsidRPr="002C5FC2">
              <w:rPr>
                <w:rFonts w:ascii="Cambria" w:hAnsi="Cambria"/>
                <w:b/>
                <w:bCs/>
                <w:color w:val="000000" w:themeColor="text1"/>
              </w:rPr>
              <w:t>ADRIANO DIAS FURTADO</w:t>
            </w:r>
          </w:p>
        </w:tc>
        <w:tc>
          <w:tcPr>
            <w:tcW w:w="3190" w:type="dxa"/>
          </w:tcPr>
          <w:p w14:paraId="1110EB2A" w14:textId="77777777" w:rsidR="0031509C" w:rsidRPr="002C5FC2" w:rsidRDefault="0031509C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  <w:p w14:paraId="511A5FAE" w14:textId="77777777" w:rsidR="0031509C" w:rsidRPr="002C5FC2" w:rsidRDefault="0031509C" w:rsidP="00E9244C">
            <w:pPr>
              <w:jc w:val="both"/>
              <w:rPr>
                <w:rFonts w:ascii="Cambria" w:hAnsi="Cambria"/>
                <w:b/>
                <w:bCs/>
                <w:color w:val="000000" w:themeColor="text1"/>
              </w:rPr>
            </w:pPr>
            <w:r w:rsidRPr="002C5FC2">
              <w:rPr>
                <w:rFonts w:ascii="Cambria" w:hAnsi="Cambria"/>
                <w:b/>
                <w:bCs/>
                <w:color w:val="000000" w:themeColor="text1"/>
              </w:rPr>
              <w:t>GUERINO FERREIRA</w:t>
            </w:r>
          </w:p>
          <w:p w14:paraId="465BFC48" w14:textId="6BCD5499" w:rsidR="0031509C" w:rsidRPr="002C5FC2" w:rsidRDefault="0031509C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</w:tc>
        <w:tc>
          <w:tcPr>
            <w:tcW w:w="3402" w:type="dxa"/>
          </w:tcPr>
          <w:p w14:paraId="7BD5839A" w14:textId="77777777" w:rsidR="0031509C" w:rsidRPr="002C5FC2" w:rsidRDefault="0031509C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  <w:p w14:paraId="6C2DB307" w14:textId="347E2CC0" w:rsidR="0031509C" w:rsidRPr="002C5FC2" w:rsidRDefault="0031509C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  <w:r w:rsidRPr="002C5FC2">
              <w:rPr>
                <w:rFonts w:ascii="Cambria" w:hAnsi="Cambria" w:cs="Arial"/>
                <w:b/>
                <w:color w:val="000000" w:themeColor="text1"/>
              </w:rPr>
              <w:t>MARCOS ZILS</w:t>
            </w:r>
          </w:p>
        </w:tc>
      </w:tr>
      <w:bookmarkEnd w:id="1"/>
    </w:tbl>
    <w:p w14:paraId="4B09D721" w14:textId="77777777" w:rsidR="00EC6CB2" w:rsidRPr="002C5FC2" w:rsidRDefault="00EC6CB2" w:rsidP="00130B12">
      <w:pPr>
        <w:jc w:val="both"/>
        <w:rPr>
          <w:rFonts w:ascii="Cambria" w:hAnsi="Cambria" w:cstheme="minorHAnsi"/>
          <w:b/>
          <w:color w:val="000000" w:themeColor="text1"/>
        </w:rPr>
      </w:pPr>
    </w:p>
    <w:p w14:paraId="395231E8" w14:textId="6BA8EFF1" w:rsidR="004B01EA" w:rsidRPr="002C5FC2" w:rsidRDefault="004B01EA" w:rsidP="00E9244C">
      <w:pPr>
        <w:jc w:val="center"/>
        <w:rPr>
          <w:rFonts w:ascii="Cambria" w:hAnsi="Cambria" w:cstheme="minorHAnsi"/>
          <w:b/>
          <w:color w:val="000000" w:themeColor="text1"/>
          <w:u w:val="single"/>
        </w:rPr>
      </w:pPr>
      <w:r w:rsidRPr="002C5FC2">
        <w:rPr>
          <w:rFonts w:ascii="Cambria" w:hAnsi="Cambria" w:cstheme="minorHAnsi"/>
          <w:b/>
          <w:color w:val="000000" w:themeColor="text1"/>
        </w:rPr>
        <w:t>JUSTIFICATIVA</w:t>
      </w:r>
    </w:p>
    <w:p w14:paraId="2151577E" w14:textId="77777777" w:rsidR="004B01EA" w:rsidRPr="002C5FC2" w:rsidRDefault="004B01EA" w:rsidP="00130B12">
      <w:pPr>
        <w:jc w:val="both"/>
        <w:rPr>
          <w:rFonts w:ascii="Cambria" w:hAnsi="Cambria" w:cstheme="minorHAnsi"/>
          <w:b/>
          <w:color w:val="000000" w:themeColor="text1"/>
          <w:u w:val="single"/>
        </w:rPr>
      </w:pPr>
    </w:p>
    <w:p w14:paraId="356F39D7" w14:textId="77777777" w:rsidR="00E45B39" w:rsidRPr="00E45B39" w:rsidRDefault="00E45B39" w:rsidP="00E45B39">
      <w:pPr>
        <w:jc w:val="both"/>
        <w:rPr>
          <w:rFonts w:ascii="Cambria" w:hAnsi="Cambria" w:cstheme="minorHAnsi"/>
          <w:color w:val="000000" w:themeColor="text1"/>
        </w:rPr>
      </w:pPr>
      <w:r w:rsidRPr="00E45B39">
        <w:rPr>
          <w:rFonts w:ascii="Cambria" w:hAnsi="Cambria" w:cstheme="minorHAnsi"/>
          <w:color w:val="000000" w:themeColor="text1"/>
        </w:rPr>
        <w:t>A presente emenda modificativa tem por objetivo alterar o artigo 10, estabelecendo o limite de até 20% da receita estimada para o orçamento de cada uma das unidades gestoras. A medida visa aprimorar o planejamento orçamentário e garantir maior precisão na execução das despesas públicas, além de harmonizar o projeto com o percentual já vigente no exercício de 2025, reforçando o compromisso com uma gestão orçamentária detalhada e responsável.</w:t>
      </w:r>
    </w:p>
    <w:p w14:paraId="070AC24E" w14:textId="77777777" w:rsidR="00E45B39" w:rsidRPr="00E45B39" w:rsidRDefault="00E45B39" w:rsidP="00E45B39">
      <w:pPr>
        <w:jc w:val="both"/>
        <w:rPr>
          <w:rFonts w:ascii="Cambria" w:hAnsi="Cambria" w:cstheme="minorHAnsi"/>
          <w:color w:val="000000" w:themeColor="text1"/>
        </w:rPr>
      </w:pPr>
    </w:p>
    <w:p w14:paraId="69107967" w14:textId="42CCE29B" w:rsidR="007D3DC9" w:rsidRDefault="00E45B39" w:rsidP="00E45B39">
      <w:pPr>
        <w:jc w:val="both"/>
        <w:rPr>
          <w:rFonts w:ascii="Cambria" w:hAnsi="Cambria" w:cstheme="minorHAnsi"/>
          <w:color w:val="000000" w:themeColor="text1"/>
        </w:rPr>
      </w:pPr>
      <w:r w:rsidRPr="00E45B39">
        <w:rPr>
          <w:rFonts w:ascii="Cambria" w:hAnsi="Cambria" w:cstheme="minorHAnsi"/>
          <w:color w:val="000000" w:themeColor="text1"/>
        </w:rPr>
        <w:t>A alteração também fortalece o papel do Legislativo no acompanhamento e controle da execução orçamentária, em consonância com os princípios da transparência e da moralidade administrativa previstos na Constituição Federal. Ao mesmo tempo, o novo limite preserva a flexibilidade necessária para atender eventuais situações imprevistas, sem comprometer a previsibilidade e a estabilidade financeira do município.</w:t>
      </w:r>
    </w:p>
    <w:p w14:paraId="283BBE31" w14:textId="77777777" w:rsidR="00E45B39" w:rsidRPr="002C5FC2" w:rsidRDefault="00E45B39" w:rsidP="00E45B39">
      <w:pPr>
        <w:jc w:val="both"/>
        <w:rPr>
          <w:rFonts w:ascii="Cambria" w:hAnsi="Cambria" w:cstheme="minorHAnsi"/>
          <w:color w:val="000000" w:themeColor="text1"/>
        </w:rPr>
      </w:pPr>
    </w:p>
    <w:p w14:paraId="76E77614" w14:textId="576D7F1B" w:rsidR="004B01EA" w:rsidRPr="002C5FC2" w:rsidRDefault="004B01EA" w:rsidP="00130B12">
      <w:pPr>
        <w:jc w:val="both"/>
        <w:rPr>
          <w:rFonts w:ascii="Cambria" w:hAnsi="Cambria" w:cstheme="minorHAnsi"/>
          <w:color w:val="000000" w:themeColor="text1"/>
        </w:rPr>
      </w:pPr>
      <w:r w:rsidRPr="002C5FC2">
        <w:rPr>
          <w:rFonts w:ascii="Cambria" w:hAnsi="Cambria" w:cstheme="minorHAnsi"/>
          <w:color w:val="000000" w:themeColor="text1"/>
        </w:rPr>
        <w:t xml:space="preserve">Certos da compreensão dos nobres edis, solicitamos aprovação de nossa emenda </w:t>
      </w:r>
      <w:r w:rsidR="00FE588B" w:rsidRPr="002C5FC2">
        <w:rPr>
          <w:rFonts w:ascii="Cambria" w:hAnsi="Cambria"/>
          <w:color w:val="000000" w:themeColor="text1"/>
        </w:rPr>
        <w:t>modificativa</w:t>
      </w:r>
      <w:r w:rsidR="00586BD8" w:rsidRPr="002C5FC2">
        <w:rPr>
          <w:rFonts w:ascii="Cambria" w:hAnsi="Cambria" w:cstheme="minorHAnsi"/>
          <w:color w:val="000000" w:themeColor="text1"/>
        </w:rPr>
        <w:t>.</w:t>
      </w:r>
      <w:r w:rsidRPr="002C5FC2">
        <w:rPr>
          <w:rFonts w:ascii="Cambria" w:hAnsi="Cambria" w:cstheme="minorHAnsi"/>
          <w:color w:val="000000" w:themeColor="text1"/>
        </w:rPr>
        <w:t xml:space="preserve"> </w:t>
      </w:r>
    </w:p>
    <w:p w14:paraId="28A9D155" w14:textId="77777777" w:rsidR="004B01EA" w:rsidRPr="002C5FC2" w:rsidRDefault="004B01EA" w:rsidP="00130B12">
      <w:pPr>
        <w:jc w:val="both"/>
        <w:rPr>
          <w:rFonts w:ascii="Cambria" w:hAnsi="Cambria" w:cstheme="minorHAnsi"/>
          <w:color w:val="000000" w:themeColor="text1"/>
        </w:rPr>
      </w:pPr>
    </w:p>
    <w:p w14:paraId="5025F068" w14:textId="3F15C48D" w:rsidR="00AB4BFA" w:rsidRPr="002C5FC2" w:rsidRDefault="00793FBA" w:rsidP="00130B12">
      <w:pPr>
        <w:jc w:val="both"/>
        <w:rPr>
          <w:rFonts w:ascii="Cambria" w:hAnsi="Cambria" w:cstheme="minorHAnsi"/>
          <w:color w:val="000000" w:themeColor="text1"/>
        </w:rPr>
      </w:pPr>
      <w:r w:rsidRPr="002C5FC2">
        <w:rPr>
          <w:rFonts w:ascii="Cambria" w:hAnsi="Cambria" w:cstheme="minorHAnsi"/>
          <w:color w:val="000000" w:themeColor="text1"/>
        </w:rPr>
        <w:t xml:space="preserve">Schroeder, SC, </w:t>
      </w:r>
      <w:r w:rsidR="007D3DC9">
        <w:rPr>
          <w:rFonts w:ascii="Cambria" w:hAnsi="Cambria" w:cstheme="minorHAnsi"/>
          <w:color w:val="000000" w:themeColor="text1"/>
        </w:rPr>
        <w:t>24 de novembro</w:t>
      </w:r>
      <w:r w:rsidR="007D3DC9" w:rsidRPr="002C5FC2">
        <w:rPr>
          <w:rFonts w:ascii="Cambria" w:hAnsi="Cambria" w:cstheme="minorHAnsi"/>
          <w:color w:val="000000" w:themeColor="text1"/>
        </w:rPr>
        <w:t xml:space="preserve"> de 2025.</w:t>
      </w:r>
    </w:p>
    <w:p w14:paraId="2A517AAD" w14:textId="77777777" w:rsidR="00EC6CB2" w:rsidRPr="002C5FC2" w:rsidRDefault="00EC6CB2" w:rsidP="00130B12">
      <w:pPr>
        <w:jc w:val="both"/>
        <w:rPr>
          <w:rFonts w:ascii="Cambria" w:hAnsi="Cambria" w:cstheme="minorHAnsi"/>
          <w:color w:val="000000" w:themeColor="text1"/>
        </w:rPr>
      </w:pPr>
    </w:p>
    <w:p w14:paraId="1C5C1B46" w14:textId="77777777" w:rsidR="00EC6CB2" w:rsidRPr="002C5FC2" w:rsidRDefault="00EC6CB2" w:rsidP="00130B12">
      <w:pPr>
        <w:jc w:val="both"/>
        <w:rPr>
          <w:rFonts w:ascii="Cambria" w:hAnsi="Cambria" w:cstheme="minorHAnsi"/>
          <w:color w:val="000000" w:themeColor="text1"/>
        </w:rPr>
      </w:pPr>
    </w:p>
    <w:tbl>
      <w:tblPr>
        <w:tblStyle w:val="Tabelacomgrade"/>
        <w:tblpPr w:leftFromText="141" w:rightFromText="141" w:vertAnchor="text" w:horzAnchor="margin" w:tblpX="425" w:tblpY="240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56"/>
        <w:gridCol w:w="3190"/>
        <w:gridCol w:w="3402"/>
      </w:tblGrid>
      <w:tr w:rsidR="002C5FC2" w:rsidRPr="002C5FC2" w14:paraId="67D4F9A8" w14:textId="77777777" w:rsidTr="00E9244C">
        <w:trPr>
          <w:trHeight w:val="815"/>
        </w:trPr>
        <w:tc>
          <w:tcPr>
            <w:tcW w:w="3756" w:type="dxa"/>
          </w:tcPr>
          <w:p w14:paraId="6B16A153" w14:textId="77777777" w:rsidR="0015524B" w:rsidRPr="002C5FC2" w:rsidRDefault="0015524B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  <w:p w14:paraId="5E37D91F" w14:textId="77777777" w:rsidR="0015524B" w:rsidRPr="002C5FC2" w:rsidRDefault="0015524B" w:rsidP="00E9244C">
            <w:pPr>
              <w:jc w:val="both"/>
              <w:rPr>
                <w:rFonts w:ascii="Cambria" w:hAnsi="Cambria"/>
                <w:b/>
                <w:bCs/>
                <w:color w:val="000000" w:themeColor="text1"/>
              </w:rPr>
            </w:pPr>
            <w:r w:rsidRPr="002C5FC2">
              <w:rPr>
                <w:rFonts w:ascii="Cambria" w:hAnsi="Cambria"/>
                <w:b/>
                <w:bCs/>
                <w:color w:val="000000" w:themeColor="text1"/>
              </w:rPr>
              <w:t>ADRIANO DIAS FURTADO</w:t>
            </w:r>
          </w:p>
          <w:p w14:paraId="1F9170BA" w14:textId="77777777" w:rsidR="0015524B" w:rsidRPr="002C5FC2" w:rsidRDefault="0015524B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</w:tc>
        <w:tc>
          <w:tcPr>
            <w:tcW w:w="3190" w:type="dxa"/>
          </w:tcPr>
          <w:p w14:paraId="299E49B7" w14:textId="77777777" w:rsidR="0015524B" w:rsidRPr="002C5FC2" w:rsidRDefault="0015524B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  <w:p w14:paraId="387EC986" w14:textId="77777777" w:rsidR="0015524B" w:rsidRPr="002C5FC2" w:rsidRDefault="0015524B" w:rsidP="00E9244C">
            <w:pPr>
              <w:jc w:val="both"/>
              <w:rPr>
                <w:rFonts w:ascii="Cambria" w:hAnsi="Cambria"/>
                <w:b/>
                <w:bCs/>
                <w:color w:val="000000" w:themeColor="text1"/>
              </w:rPr>
            </w:pPr>
            <w:r w:rsidRPr="002C5FC2">
              <w:rPr>
                <w:rFonts w:ascii="Cambria" w:hAnsi="Cambria"/>
                <w:b/>
                <w:bCs/>
                <w:color w:val="000000" w:themeColor="text1"/>
              </w:rPr>
              <w:t>GUERINO FERREIRA</w:t>
            </w:r>
          </w:p>
          <w:p w14:paraId="7305DD90" w14:textId="77777777" w:rsidR="0015524B" w:rsidRPr="002C5FC2" w:rsidRDefault="0015524B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</w:tc>
        <w:tc>
          <w:tcPr>
            <w:tcW w:w="3402" w:type="dxa"/>
          </w:tcPr>
          <w:p w14:paraId="4311CCE2" w14:textId="77777777" w:rsidR="0015524B" w:rsidRPr="002C5FC2" w:rsidRDefault="0015524B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</w:p>
          <w:p w14:paraId="1CEDBF6A" w14:textId="77777777" w:rsidR="0015524B" w:rsidRPr="002C5FC2" w:rsidRDefault="0015524B" w:rsidP="00E9244C">
            <w:pPr>
              <w:jc w:val="both"/>
              <w:rPr>
                <w:rFonts w:ascii="Cambria" w:hAnsi="Cambria" w:cs="Arial"/>
                <w:b/>
                <w:color w:val="000000" w:themeColor="text1"/>
              </w:rPr>
            </w:pPr>
            <w:r w:rsidRPr="002C5FC2">
              <w:rPr>
                <w:rFonts w:ascii="Cambria" w:hAnsi="Cambria" w:cs="Arial"/>
                <w:b/>
                <w:color w:val="000000" w:themeColor="text1"/>
              </w:rPr>
              <w:t>MARCOS ZILS</w:t>
            </w:r>
          </w:p>
        </w:tc>
      </w:tr>
    </w:tbl>
    <w:p w14:paraId="1CB52039" w14:textId="77777777" w:rsidR="004B01EA" w:rsidRPr="002C5FC2" w:rsidRDefault="004B01EA" w:rsidP="00130B12">
      <w:pPr>
        <w:jc w:val="both"/>
        <w:rPr>
          <w:rFonts w:ascii="Cambria" w:hAnsi="Cambria" w:cstheme="minorHAnsi"/>
          <w:color w:val="000000" w:themeColor="text1"/>
        </w:rPr>
      </w:pPr>
    </w:p>
    <w:sectPr w:rsidR="004B01EA" w:rsidRPr="002C5FC2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31C6C41"/>
    <w:multiLevelType w:val="hybridMultilevel"/>
    <w:tmpl w:val="06EA7D52"/>
    <w:lvl w:ilvl="0" w:tplc="FCACF7CC">
      <w:start w:val="1"/>
      <w:numFmt w:val="lowerLetter"/>
      <w:lvlText w:val="%1)"/>
      <w:lvlJc w:val="left"/>
      <w:pPr>
        <w:ind w:left="2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90" w:hanging="360"/>
      </w:pPr>
    </w:lvl>
    <w:lvl w:ilvl="2" w:tplc="0416001B" w:tentative="1">
      <w:start w:val="1"/>
      <w:numFmt w:val="lowerRoman"/>
      <w:lvlText w:val="%3."/>
      <w:lvlJc w:val="right"/>
      <w:pPr>
        <w:ind w:left="4210" w:hanging="180"/>
      </w:pPr>
    </w:lvl>
    <w:lvl w:ilvl="3" w:tplc="0416000F" w:tentative="1">
      <w:start w:val="1"/>
      <w:numFmt w:val="decimal"/>
      <w:lvlText w:val="%4."/>
      <w:lvlJc w:val="left"/>
      <w:pPr>
        <w:ind w:left="4930" w:hanging="360"/>
      </w:pPr>
    </w:lvl>
    <w:lvl w:ilvl="4" w:tplc="04160019" w:tentative="1">
      <w:start w:val="1"/>
      <w:numFmt w:val="lowerLetter"/>
      <w:lvlText w:val="%5."/>
      <w:lvlJc w:val="left"/>
      <w:pPr>
        <w:ind w:left="5650" w:hanging="360"/>
      </w:pPr>
    </w:lvl>
    <w:lvl w:ilvl="5" w:tplc="0416001B" w:tentative="1">
      <w:start w:val="1"/>
      <w:numFmt w:val="lowerRoman"/>
      <w:lvlText w:val="%6."/>
      <w:lvlJc w:val="right"/>
      <w:pPr>
        <w:ind w:left="6370" w:hanging="180"/>
      </w:pPr>
    </w:lvl>
    <w:lvl w:ilvl="6" w:tplc="0416000F" w:tentative="1">
      <w:start w:val="1"/>
      <w:numFmt w:val="decimal"/>
      <w:lvlText w:val="%7."/>
      <w:lvlJc w:val="left"/>
      <w:pPr>
        <w:ind w:left="7090" w:hanging="360"/>
      </w:pPr>
    </w:lvl>
    <w:lvl w:ilvl="7" w:tplc="04160019" w:tentative="1">
      <w:start w:val="1"/>
      <w:numFmt w:val="lowerLetter"/>
      <w:lvlText w:val="%8."/>
      <w:lvlJc w:val="left"/>
      <w:pPr>
        <w:ind w:left="7810" w:hanging="360"/>
      </w:pPr>
    </w:lvl>
    <w:lvl w:ilvl="8" w:tplc="0416001B" w:tentative="1">
      <w:start w:val="1"/>
      <w:numFmt w:val="lowerRoman"/>
      <w:lvlText w:val="%9."/>
      <w:lvlJc w:val="right"/>
      <w:pPr>
        <w:ind w:left="8530" w:hanging="180"/>
      </w:pPr>
    </w:lvl>
  </w:abstractNum>
  <w:abstractNum w:abstractNumId="4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4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4488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01AF"/>
    <w:rsid w:val="00004691"/>
    <w:rsid w:val="000151A6"/>
    <w:rsid w:val="000159FD"/>
    <w:rsid w:val="00017E3D"/>
    <w:rsid w:val="000353D4"/>
    <w:rsid w:val="0004186C"/>
    <w:rsid w:val="00046440"/>
    <w:rsid w:val="00056B44"/>
    <w:rsid w:val="00063611"/>
    <w:rsid w:val="0006645A"/>
    <w:rsid w:val="0007187D"/>
    <w:rsid w:val="00075BDB"/>
    <w:rsid w:val="00077D7A"/>
    <w:rsid w:val="00080BB1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E582E"/>
    <w:rsid w:val="000F0C02"/>
    <w:rsid w:val="000F36CD"/>
    <w:rsid w:val="001027BC"/>
    <w:rsid w:val="00103921"/>
    <w:rsid w:val="0011299D"/>
    <w:rsid w:val="00122D49"/>
    <w:rsid w:val="001237BF"/>
    <w:rsid w:val="00125475"/>
    <w:rsid w:val="00125B7C"/>
    <w:rsid w:val="0012633B"/>
    <w:rsid w:val="00130B12"/>
    <w:rsid w:val="0013115F"/>
    <w:rsid w:val="00146F5E"/>
    <w:rsid w:val="001520C7"/>
    <w:rsid w:val="0015524B"/>
    <w:rsid w:val="00156A77"/>
    <w:rsid w:val="001604B2"/>
    <w:rsid w:val="00165630"/>
    <w:rsid w:val="001804E6"/>
    <w:rsid w:val="00191B4A"/>
    <w:rsid w:val="00192458"/>
    <w:rsid w:val="00197085"/>
    <w:rsid w:val="001B08C7"/>
    <w:rsid w:val="001B38E3"/>
    <w:rsid w:val="001B4D26"/>
    <w:rsid w:val="001C5988"/>
    <w:rsid w:val="001E371C"/>
    <w:rsid w:val="001E519B"/>
    <w:rsid w:val="001E6C5A"/>
    <w:rsid w:val="001F04C3"/>
    <w:rsid w:val="002030F1"/>
    <w:rsid w:val="002033D4"/>
    <w:rsid w:val="00220C2A"/>
    <w:rsid w:val="0022327D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C5FC2"/>
    <w:rsid w:val="002E6307"/>
    <w:rsid w:val="002F5BFD"/>
    <w:rsid w:val="003070BD"/>
    <w:rsid w:val="0031509C"/>
    <w:rsid w:val="00322C91"/>
    <w:rsid w:val="00332BCA"/>
    <w:rsid w:val="00341DC2"/>
    <w:rsid w:val="00356E51"/>
    <w:rsid w:val="00356F24"/>
    <w:rsid w:val="00366463"/>
    <w:rsid w:val="00367AA3"/>
    <w:rsid w:val="003811BF"/>
    <w:rsid w:val="003A3E7B"/>
    <w:rsid w:val="003A48A8"/>
    <w:rsid w:val="003B79DB"/>
    <w:rsid w:val="003D58CF"/>
    <w:rsid w:val="003D5E85"/>
    <w:rsid w:val="003F6EFD"/>
    <w:rsid w:val="00403E7E"/>
    <w:rsid w:val="00414F04"/>
    <w:rsid w:val="0041611B"/>
    <w:rsid w:val="0041653B"/>
    <w:rsid w:val="0042071E"/>
    <w:rsid w:val="004264FB"/>
    <w:rsid w:val="00427000"/>
    <w:rsid w:val="00430C70"/>
    <w:rsid w:val="00432B0E"/>
    <w:rsid w:val="00437AE7"/>
    <w:rsid w:val="00446D18"/>
    <w:rsid w:val="0046783E"/>
    <w:rsid w:val="00470396"/>
    <w:rsid w:val="004805D4"/>
    <w:rsid w:val="00483A5E"/>
    <w:rsid w:val="004849C8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E5EA3"/>
    <w:rsid w:val="004F2DAF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47CCF"/>
    <w:rsid w:val="005639D2"/>
    <w:rsid w:val="00564F41"/>
    <w:rsid w:val="00565782"/>
    <w:rsid w:val="00567552"/>
    <w:rsid w:val="00571D06"/>
    <w:rsid w:val="00572293"/>
    <w:rsid w:val="00574728"/>
    <w:rsid w:val="00581CF1"/>
    <w:rsid w:val="00586BD8"/>
    <w:rsid w:val="005944B9"/>
    <w:rsid w:val="005948B3"/>
    <w:rsid w:val="005A39FF"/>
    <w:rsid w:val="005B2807"/>
    <w:rsid w:val="005E32F7"/>
    <w:rsid w:val="005E47D3"/>
    <w:rsid w:val="005F1FE8"/>
    <w:rsid w:val="00605FDC"/>
    <w:rsid w:val="006062AE"/>
    <w:rsid w:val="00610285"/>
    <w:rsid w:val="006274D0"/>
    <w:rsid w:val="00633AFF"/>
    <w:rsid w:val="00636731"/>
    <w:rsid w:val="00645204"/>
    <w:rsid w:val="00646A02"/>
    <w:rsid w:val="00653AC3"/>
    <w:rsid w:val="00654B2B"/>
    <w:rsid w:val="00657E25"/>
    <w:rsid w:val="00661017"/>
    <w:rsid w:val="00675422"/>
    <w:rsid w:val="006863D3"/>
    <w:rsid w:val="00692B9E"/>
    <w:rsid w:val="0069728D"/>
    <w:rsid w:val="006A3BEA"/>
    <w:rsid w:val="006B0464"/>
    <w:rsid w:val="006C2338"/>
    <w:rsid w:val="006D2D94"/>
    <w:rsid w:val="006E259D"/>
    <w:rsid w:val="006E40BB"/>
    <w:rsid w:val="006F0CA1"/>
    <w:rsid w:val="006F3615"/>
    <w:rsid w:val="006F6B4A"/>
    <w:rsid w:val="00710050"/>
    <w:rsid w:val="00731237"/>
    <w:rsid w:val="00736128"/>
    <w:rsid w:val="00743C83"/>
    <w:rsid w:val="00751D12"/>
    <w:rsid w:val="00762830"/>
    <w:rsid w:val="00767921"/>
    <w:rsid w:val="00783026"/>
    <w:rsid w:val="00783E21"/>
    <w:rsid w:val="0078561B"/>
    <w:rsid w:val="00787AAC"/>
    <w:rsid w:val="00793FBA"/>
    <w:rsid w:val="007A6D10"/>
    <w:rsid w:val="007B4033"/>
    <w:rsid w:val="007B7DFD"/>
    <w:rsid w:val="007D31DB"/>
    <w:rsid w:val="007D3DC9"/>
    <w:rsid w:val="007E15F1"/>
    <w:rsid w:val="007F4744"/>
    <w:rsid w:val="007F66E3"/>
    <w:rsid w:val="007F6879"/>
    <w:rsid w:val="00804CCB"/>
    <w:rsid w:val="00806110"/>
    <w:rsid w:val="00813B8A"/>
    <w:rsid w:val="00815918"/>
    <w:rsid w:val="00815B22"/>
    <w:rsid w:val="008235EA"/>
    <w:rsid w:val="008240CC"/>
    <w:rsid w:val="0082572F"/>
    <w:rsid w:val="00832B2D"/>
    <w:rsid w:val="008336F6"/>
    <w:rsid w:val="008428C2"/>
    <w:rsid w:val="0084558A"/>
    <w:rsid w:val="00846C12"/>
    <w:rsid w:val="00856EBA"/>
    <w:rsid w:val="00872192"/>
    <w:rsid w:val="0087524E"/>
    <w:rsid w:val="00884643"/>
    <w:rsid w:val="0088777F"/>
    <w:rsid w:val="008926A2"/>
    <w:rsid w:val="00892C00"/>
    <w:rsid w:val="008A49E4"/>
    <w:rsid w:val="008B27E7"/>
    <w:rsid w:val="008B3D75"/>
    <w:rsid w:val="008B49A0"/>
    <w:rsid w:val="008B6C4E"/>
    <w:rsid w:val="008D08EB"/>
    <w:rsid w:val="008D37D0"/>
    <w:rsid w:val="008E1E24"/>
    <w:rsid w:val="008E2BD3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0146"/>
    <w:rsid w:val="00921742"/>
    <w:rsid w:val="009279B3"/>
    <w:rsid w:val="00930297"/>
    <w:rsid w:val="00950291"/>
    <w:rsid w:val="0096001D"/>
    <w:rsid w:val="00960868"/>
    <w:rsid w:val="00967A5B"/>
    <w:rsid w:val="00970367"/>
    <w:rsid w:val="00982850"/>
    <w:rsid w:val="00996AEE"/>
    <w:rsid w:val="009C1208"/>
    <w:rsid w:val="009C1DEF"/>
    <w:rsid w:val="009D30D1"/>
    <w:rsid w:val="009E0104"/>
    <w:rsid w:val="009E4B1B"/>
    <w:rsid w:val="009E60C0"/>
    <w:rsid w:val="009E6DC1"/>
    <w:rsid w:val="00A153D9"/>
    <w:rsid w:val="00A154C5"/>
    <w:rsid w:val="00A17308"/>
    <w:rsid w:val="00A21E3C"/>
    <w:rsid w:val="00A27374"/>
    <w:rsid w:val="00A338FB"/>
    <w:rsid w:val="00A3565B"/>
    <w:rsid w:val="00A47F1D"/>
    <w:rsid w:val="00A50A33"/>
    <w:rsid w:val="00A556C3"/>
    <w:rsid w:val="00A72DE6"/>
    <w:rsid w:val="00A77CBC"/>
    <w:rsid w:val="00A81456"/>
    <w:rsid w:val="00A83E3D"/>
    <w:rsid w:val="00AA1164"/>
    <w:rsid w:val="00AB4BFA"/>
    <w:rsid w:val="00AB6374"/>
    <w:rsid w:val="00AC5BBD"/>
    <w:rsid w:val="00AD3678"/>
    <w:rsid w:val="00AD7C8E"/>
    <w:rsid w:val="00AE197E"/>
    <w:rsid w:val="00AE6656"/>
    <w:rsid w:val="00AE7408"/>
    <w:rsid w:val="00AF02A6"/>
    <w:rsid w:val="00B02C9D"/>
    <w:rsid w:val="00B233E1"/>
    <w:rsid w:val="00B33C3D"/>
    <w:rsid w:val="00B4103E"/>
    <w:rsid w:val="00B46CAB"/>
    <w:rsid w:val="00B527A9"/>
    <w:rsid w:val="00B540BE"/>
    <w:rsid w:val="00B55C8B"/>
    <w:rsid w:val="00B6127C"/>
    <w:rsid w:val="00B774EC"/>
    <w:rsid w:val="00B81AA5"/>
    <w:rsid w:val="00B9329E"/>
    <w:rsid w:val="00B935AB"/>
    <w:rsid w:val="00B9698E"/>
    <w:rsid w:val="00BA233F"/>
    <w:rsid w:val="00BA25DF"/>
    <w:rsid w:val="00BA6FF8"/>
    <w:rsid w:val="00BB25F0"/>
    <w:rsid w:val="00BB5E4A"/>
    <w:rsid w:val="00BC016D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07724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E28E7"/>
    <w:rsid w:val="00CF76FD"/>
    <w:rsid w:val="00D077A8"/>
    <w:rsid w:val="00D11BE5"/>
    <w:rsid w:val="00D15255"/>
    <w:rsid w:val="00D2461F"/>
    <w:rsid w:val="00D2595D"/>
    <w:rsid w:val="00D30EC1"/>
    <w:rsid w:val="00D325EA"/>
    <w:rsid w:val="00D326D1"/>
    <w:rsid w:val="00D342BC"/>
    <w:rsid w:val="00D67308"/>
    <w:rsid w:val="00D70237"/>
    <w:rsid w:val="00D73D42"/>
    <w:rsid w:val="00D85C03"/>
    <w:rsid w:val="00D92EFE"/>
    <w:rsid w:val="00D969D0"/>
    <w:rsid w:val="00DA1564"/>
    <w:rsid w:val="00DB12D6"/>
    <w:rsid w:val="00DB2BC4"/>
    <w:rsid w:val="00DB71A8"/>
    <w:rsid w:val="00DC1408"/>
    <w:rsid w:val="00DC4A20"/>
    <w:rsid w:val="00DD041D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26E15"/>
    <w:rsid w:val="00E45B39"/>
    <w:rsid w:val="00E47003"/>
    <w:rsid w:val="00E53F14"/>
    <w:rsid w:val="00E5564A"/>
    <w:rsid w:val="00E77C74"/>
    <w:rsid w:val="00E9244C"/>
    <w:rsid w:val="00EB0485"/>
    <w:rsid w:val="00EB4E9E"/>
    <w:rsid w:val="00EC6885"/>
    <w:rsid w:val="00EC6CB2"/>
    <w:rsid w:val="00ED339C"/>
    <w:rsid w:val="00EE0EAA"/>
    <w:rsid w:val="00EF70A8"/>
    <w:rsid w:val="00F03E95"/>
    <w:rsid w:val="00F114AC"/>
    <w:rsid w:val="00F126CF"/>
    <w:rsid w:val="00F13C6B"/>
    <w:rsid w:val="00F21B8D"/>
    <w:rsid w:val="00F32DA7"/>
    <w:rsid w:val="00F432D5"/>
    <w:rsid w:val="00F44DCC"/>
    <w:rsid w:val="00F5104E"/>
    <w:rsid w:val="00F54848"/>
    <w:rsid w:val="00F55BB7"/>
    <w:rsid w:val="00F70FFA"/>
    <w:rsid w:val="00F75245"/>
    <w:rsid w:val="00F77D4A"/>
    <w:rsid w:val="00F80B12"/>
    <w:rsid w:val="00F86F42"/>
    <w:rsid w:val="00F92D40"/>
    <w:rsid w:val="00F94A1F"/>
    <w:rsid w:val="00F96DEA"/>
    <w:rsid w:val="00F972AB"/>
    <w:rsid w:val="00FA4C2D"/>
    <w:rsid w:val="00FA4C5B"/>
    <w:rsid w:val="00FB1634"/>
    <w:rsid w:val="00FB2267"/>
    <w:rsid w:val="00FC1853"/>
    <w:rsid w:val="00FC5E42"/>
    <w:rsid w:val="00FE170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61017"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394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2587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8</cp:revision>
  <cp:lastPrinted>2025-08-25T20:29:00Z</cp:lastPrinted>
  <dcterms:created xsi:type="dcterms:W3CDTF">2025-12-04T13:05:00Z</dcterms:created>
  <dcterms:modified xsi:type="dcterms:W3CDTF">2025-12-08T15:21:00Z</dcterms:modified>
</cp:coreProperties>
</file>