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90500" w14:textId="5C428AA7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CD020D">
        <w:rPr>
          <w:rFonts w:ascii="Times New (W1)" w:eastAsia="Times New Roman" w:hAnsi="Times New (W1)"/>
          <w:sz w:val="28"/>
          <w:szCs w:val="28"/>
          <w:lang w:eastAsia="pt-BR"/>
        </w:rPr>
        <w:t>191/2023</w:t>
      </w:r>
    </w:p>
    <w:p w14:paraId="7261CD9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D198FD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8B037E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2B5D31A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1465E89" w14:textId="7A24BCE5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AB2780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14:paraId="73A56E34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C81C930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A0FF980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21E36CC8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DC3350E" w14:textId="77777777" w:rsidR="00CD020D" w:rsidRDefault="00CD020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manutenção da Travessa Amandus Muller.</w:t>
      </w:r>
    </w:p>
    <w:p w14:paraId="4A1B8744" w14:textId="77777777" w:rsidR="00AB2780" w:rsidRDefault="00AB2780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A6F30A1" w14:textId="77777777" w:rsidR="00CD020D" w:rsidRDefault="00CD020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 com o intuito de oferecer boas condições de trafegabilidade, facilitar o acesso ao comércio, indústria e às residências existentes nas proximidades.</w:t>
      </w:r>
    </w:p>
    <w:p w14:paraId="1B32B0ED" w14:textId="77777777" w:rsidR="00AB2780" w:rsidRDefault="00AB2780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CD100DC" w14:textId="56A96CCD" w:rsidR="0075570F" w:rsidRPr="0075570F" w:rsidRDefault="00CD020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691AC758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5E697D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801B72E" w14:textId="1CAAADC1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CD020D">
        <w:rPr>
          <w:rFonts w:ascii="Times New Roman" w:eastAsia="Times New Roman" w:hAnsi="Times New Roman"/>
          <w:sz w:val="24"/>
          <w:szCs w:val="28"/>
          <w:lang w:eastAsia="pt-BR"/>
        </w:rPr>
        <w:t>13 de novembro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14DD203A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22A139C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33F068A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43EA9ED2" w14:textId="35683585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CD020D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14:paraId="1ADBC219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BB1EA75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737C7F3D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0A2A475E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13008C89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171C1DC4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AB2780"/>
    <w:rsid w:val="00CD020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4FB4CD4"/>
  <w15:chartTrackingRefBased/>
  <w15:docId w15:val="{97C831C7-53E1-4EE5-B71C-8B09D6448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Indicacoes01780</Template>
  <TotalTime>43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2023-11-13T19:14:00Z</dcterms:created>
  <dcterms:modified xsi:type="dcterms:W3CDTF">2023-11-13T19:14:00Z</dcterms:modified>
</cp:coreProperties>
</file>