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99B" w:rsidRPr="00CA4832" w:rsidRDefault="00DD62F4" w:rsidP="003B699B">
      <w:pPr>
        <w:pStyle w:val="Recuodecorpodetexto2"/>
        <w:ind w:left="0"/>
        <w:rPr>
          <w:i w:val="0"/>
          <w:color w:val="auto"/>
        </w:rPr>
      </w:pPr>
      <w:bookmarkStart w:id="0" w:name="_GoBack"/>
      <w:bookmarkEnd w:id="0"/>
      <w:r>
        <w:rPr>
          <w:bCs/>
          <w:i w:val="0"/>
          <w:color w:val="auto"/>
        </w:rPr>
        <w:t>Agildo Bacelar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 N°             0</w:t>
      </w:r>
      <w:r w:rsidR="0028676A">
        <w:rPr>
          <w:bCs/>
          <w:color w:val="auto"/>
          <w:sz w:val="36"/>
          <w:szCs w:val="36"/>
          <w:u w:val="single"/>
          <w:lang w:val="pt-BR"/>
        </w:rPr>
        <w:t>0</w:t>
      </w:r>
      <w:r w:rsidR="00DD62F4">
        <w:rPr>
          <w:bCs/>
          <w:color w:val="auto"/>
          <w:sz w:val="36"/>
          <w:szCs w:val="36"/>
          <w:u w:val="single"/>
          <w:lang w:val="pt-BR"/>
        </w:rPr>
        <w:t>5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DD62F4" w:rsidP="003B699B">
      <w:pPr>
        <w:pStyle w:val="Recuodecorpodetexto3"/>
        <w:ind w:left="0"/>
        <w:rPr>
          <w:i w:val="0"/>
        </w:rPr>
      </w:pPr>
      <w:r>
        <w:rPr>
          <w:i w:val="0"/>
        </w:rPr>
        <w:t>Dispõe sobre a criação do número social e dá outras providências.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FD7BDC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7" w:history="1">
        <w:r w:rsidRPr="00FC3F29">
          <w:rPr>
            <w:bCs/>
            <w:color w:val="000000"/>
            <w:sz w:val="28"/>
            <w:szCs w:val="28"/>
            <w:lang w:eastAsia="pt-BR"/>
          </w:rPr>
          <w:t>Art. 1º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</w:t>
      </w:r>
      <w:r>
        <w:rPr>
          <w:bCs/>
          <w:color w:val="444444"/>
          <w:sz w:val="28"/>
          <w:szCs w:val="28"/>
          <w:lang w:eastAsia="pt-BR"/>
        </w:rPr>
        <w:t xml:space="preserve">Institui o número social a ser utilizado pelos </w:t>
      </w:r>
      <w:r w:rsidRPr="00FC3F29">
        <w:rPr>
          <w:bCs/>
          <w:color w:val="444444"/>
          <w:sz w:val="28"/>
          <w:szCs w:val="28"/>
          <w:lang w:eastAsia="pt-BR"/>
        </w:rPr>
        <w:t xml:space="preserve">imóveis edificados em áreas públicas </w:t>
      </w:r>
      <w:r>
        <w:rPr>
          <w:bCs/>
          <w:color w:val="444444"/>
          <w:sz w:val="28"/>
          <w:szCs w:val="28"/>
          <w:lang w:eastAsia="pt-BR"/>
        </w:rPr>
        <w:t>e/</w:t>
      </w:r>
      <w:r w:rsidRPr="00FC3F29">
        <w:rPr>
          <w:bCs/>
          <w:color w:val="444444"/>
          <w:sz w:val="28"/>
          <w:szCs w:val="28"/>
          <w:lang w:eastAsia="pt-BR"/>
        </w:rPr>
        <w:t>ou em loteamentos irregulares</w:t>
      </w:r>
      <w:r>
        <w:rPr>
          <w:bCs/>
          <w:color w:val="444444"/>
          <w:sz w:val="28"/>
          <w:szCs w:val="28"/>
          <w:lang w:eastAsia="pt-BR"/>
        </w:rPr>
        <w:t>.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  <w:r w:rsidRPr="00FC3F29">
        <w:rPr>
          <w:bCs/>
          <w:color w:val="444444"/>
          <w:sz w:val="28"/>
          <w:szCs w:val="28"/>
          <w:lang w:eastAsia="pt-BR"/>
        </w:rPr>
        <w:t xml:space="preserve">§ 1º. Entende-se por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aquele a ser </w:t>
      </w:r>
      <w:proofErr w:type="gramStart"/>
      <w:r w:rsidRPr="00FC3F29">
        <w:rPr>
          <w:bCs/>
          <w:color w:val="444444"/>
          <w:sz w:val="28"/>
          <w:szCs w:val="28"/>
          <w:lang w:eastAsia="pt-BR"/>
        </w:rPr>
        <w:t>concedido</w:t>
      </w:r>
      <w:proofErr w:type="gramEnd"/>
      <w:r w:rsidRPr="00FC3F29">
        <w:rPr>
          <w:bCs/>
          <w:color w:val="444444"/>
          <w:sz w:val="28"/>
          <w:szCs w:val="28"/>
          <w:lang w:eastAsia="pt-BR"/>
        </w:rPr>
        <w:t xml:space="preserve"> pela Prefeitura Municipal, em caráter provisório, com o fim de identificar cada lote, edificação, parte independente desta, ocupação já consolidada em área pública ou em loteamentos irregulares, devidamente implantados, com a situação de fato já definida, consolidada e preexistentes, até eventual programa habitacional ou regularização do loteamento.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  <w:r w:rsidRPr="00FC3F29">
        <w:rPr>
          <w:bCs/>
          <w:color w:val="444444"/>
          <w:sz w:val="28"/>
          <w:szCs w:val="28"/>
          <w:lang w:eastAsia="pt-BR"/>
        </w:rPr>
        <w:t xml:space="preserve">§ 2º.  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 será fornecido pela Prefeitura Municipal, através de placa que terá fundo na cor verde com os algarismos impressos na cor branca, de acordo com os padrões estabelecidos pela Prefeitura Municipal. </w:t>
      </w:r>
    </w:p>
    <w:p w:rsidR="00FD7BDC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  <w:r w:rsidRPr="00FC3F29">
        <w:rPr>
          <w:bCs/>
          <w:color w:val="444444"/>
          <w:sz w:val="28"/>
          <w:szCs w:val="28"/>
          <w:lang w:eastAsia="pt-BR"/>
        </w:rPr>
        <w:t>§ 3º.  As pessoas residentes em áreas públicas, que não tiverem outro imóvel, terão direito a um único</w:t>
      </w:r>
      <w:r>
        <w:rPr>
          <w:bCs/>
          <w:color w:val="444444"/>
          <w:sz w:val="28"/>
          <w:szCs w:val="28"/>
          <w:lang w:eastAsia="pt-BR"/>
        </w:rPr>
        <w:t xml:space="preserve"> número</w:t>
      </w:r>
      <w:r w:rsidRPr="00FC3F29">
        <w:rPr>
          <w:bCs/>
          <w:color w:val="444444"/>
          <w:sz w:val="28"/>
          <w:szCs w:val="28"/>
          <w:lang w:eastAsia="pt-BR"/>
        </w:rPr>
        <w:t xml:space="preserve"> </w:t>
      </w:r>
      <w:r>
        <w:rPr>
          <w:bCs/>
          <w:color w:val="444444"/>
          <w:sz w:val="28"/>
          <w:szCs w:val="28"/>
          <w:lang w:eastAsia="pt-BR"/>
        </w:rPr>
        <w:t>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não podendo em hipótese alguma ser fornecido mais de um número à mesma pessoa.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8" w:history="1">
        <w:r w:rsidRPr="00FC3F29">
          <w:rPr>
            <w:bCs/>
            <w:color w:val="000000"/>
            <w:sz w:val="28"/>
            <w:szCs w:val="28"/>
            <w:lang w:eastAsia="pt-BR"/>
          </w:rPr>
          <w:t>Art. 2º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O</w:t>
      </w:r>
      <w:r>
        <w:rPr>
          <w:bCs/>
          <w:color w:val="444444"/>
          <w:sz w:val="28"/>
          <w:szCs w:val="28"/>
          <w:lang w:eastAsia="pt-BR"/>
        </w:rPr>
        <w:t xml:space="preserve"> 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 terá efeito provisório, valendo para edificações em áreas publicas, até a efetiva urbanização, se cabível, ou futuro atendimento em projeto habitacional, enquanto que para as edificações em loteamentos irregulares, até a efetiva regularização, ocasião em que serão substituídos pelo número oficial, nos padrões utilizados pela Prefeitura Municipal.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9" w:history="1">
        <w:r w:rsidRPr="00FC3F29">
          <w:rPr>
            <w:bCs/>
            <w:color w:val="000000"/>
            <w:sz w:val="28"/>
            <w:szCs w:val="28"/>
            <w:lang w:eastAsia="pt-BR"/>
          </w:rPr>
          <w:t>Art. 3º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A Prefeitura Municipal, através de seu órgão responsável, irá efetivar levantamento cadastral das áreas públicas em tais condições, identificando e individualizando cada uma das construções, como o fim de receber o devido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.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  <w:r w:rsidRPr="00FC3F29">
        <w:rPr>
          <w:bCs/>
          <w:color w:val="444444"/>
          <w:sz w:val="28"/>
          <w:szCs w:val="28"/>
          <w:lang w:eastAsia="pt-BR"/>
        </w:rPr>
        <w:t>§ 1º.  Nos loteamentos irregulares, somente será concedido o</w:t>
      </w:r>
      <w:r>
        <w:rPr>
          <w:bCs/>
          <w:color w:val="444444"/>
          <w:sz w:val="28"/>
          <w:szCs w:val="28"/>
          <w:lang w:eastAsia="pt-BR"/>
        </w:rPr>
        <w:t xml:space="preserve"> número</w:t>
      </w:r>
      <w:proofErr w:type="gramStart"/>
      <w:r w:rsidRPr="00FC3F29">
        <w:rPr>
          <w:bCs/>
          <w:color w:val="444444"/>
          <w:sz w:val="28"/>
          <w:szCs w:val="28"/>
          <w:lang w:eastAsia="pt-BR"/>
        </w:rPr>
        <w:t xml:space="preserve">  </w:t>
      </w:r>
      <w:proofErr w:type="gramEnd"/>
      <w:r>
        <w:rPr>
          <w:bCs/>
          <w:color w:val="444444"/>
          <w:sz w:val="28"/>
          <w:szCs w:val="28"/>
          <w:lang w:eastAsia="pt-BR"/>
        </w:rPr>
        <w:t>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quando o mesmo estiver implantado, com arruamento definido, edificado, estando o mesmo consolidado, sendo anterior a vigência da presente lei, e depois de devido levantamento cadastral na Prefeitura Municipal. </w:t>
      </w:r>
    </w:p>
    <w:p w:rsidR="00FD7BDC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  <w:r w:rsidRPr="00FC3F29">
        <w:rPr>
          <w:bCs/>
          <w:color w:val="444444"/>
          <w:sz w:val="28"/>
          <w:szCs w:val="28"/>
          <w:lang w:eastAsia="pt-BR"/>
        </w:rPr>
        <w:t>§ 2º.  Para as edificações posteriores aos cadastramentos mencionados no caput e p</w:t>
      </w:r>
      <w:r>
        <w:rPr>
          <w:bCs/>
          <w:color w:val="444444"/>
          <w:sz w:val="28"/>
          <w:szCs w:val="28"/>
          <w:lang w:eastAsia="pt-BR"/>
        </w:rPr>
        <w:t>a</w:t>
      </w:r>
      <w:r w:rsidRPr="00FC3F29">
        <w:rPr>
          <w:bCs/>
          <w:color w:val="444444"/>
          <w:sz w:val="28"/>
          <w:szCs w:val="28"/>
          <w:lang w:eastAsia="pt-BR"/>
        </w:rPr>
        <w:t xml:space="preserve">rágrafo primeiro, não poderão ser fornecido 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.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0" w:history="1">
        <w:r w:rsidRPr="00FC3F29">
          <w:rPr>
            <w:bCs/>
            <w:color w:val="000000"/>
            <w:sz w:val="28"/>
            <w:szCs w:val="28"/>
            <w:lang w:eastAsia="pt-BR"/>
          </w:rPr>
          <w:t>Art. 4º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Nos imóveis que tiverem mais de uma moradia, será fornecido um único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sendo que as demais ficarão com o mesmo número, usando como complemento a devida expressão alfabética.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  <w:r w:rsidRPr="00FC3F29">
        <w:rPr>
          <w:bCs/>
          <w:color w:val="444444"/>
          <w:sz w:val="28"/>
          <w:szCs w:val="28"/>
          <w:lang w:eastAsia="pt-BR"/>
        </w:rPr>
        <w:t xml:space="preserve">Parágrafo </w:t>
      </w:r>
      <w:proofErr w:type="gramStart"/>
      <w:r w:rsidRPr="00FC3F29">
        <w:rPr>
          <w:bCs/>
          <w:color w:val="444444"/>
          <w:sz w:val="28"/>
          <w:szCs w:val="28"/>
          <w:lang w:eastAsia="pt-BR"/>
        </w:rPr>
        <w:t>nico</w:t>
      </w:r>
      <w:proofErr w:type="gramEnd"/>
      <w:r w:rsidRPr="00FC3F29">
        <w:rPr>
          <w:bCs/>
          <w:color w:val="444444"/>
          <w:sz w:val="28"/>
          <w:szCs w:val="28"/>
          <w:lang w:eastAsia="pt-BR"/>
        </w:rPr>
        <w:t xml:space="preserve"> - Para os lotes, objeto de desdobro irregular, com a situação consolidada, poderá ser fornecido 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para a segunda edificação, seguindo o número oficial do lote acrescido à devida expressão alfabética, tendo a mesma validade, até a efetiva regularização do desdobro.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1" w:history="1">
        <w:r w:rsidRPr="00FC3F29">
          <w:rPr>
            <w:bCs/>
            <w:color w:val="000000"/>
            <w:sz w:val="28"/>
            <w:szCs w:val="28"/>
            <w:lang w:eastAsia="pt-BR"/>
          </w:rPr>
          <w:t>Art. 5º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Não será fornecido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para as edificações em áreas de risco e área de preservação permanente, bem como edificações de natureza não residencial, exceto nos casos que fique comprovado que o proprietário utiliza parte do imóvel residencial para explorar atividade comercial, como única fonte de renda para sua família.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2" w:history="1">
        <w:r w:rsidRPr="00FC3F29">
          <w:rPr>
            <w:bCs/>
            <w:color w:val="000000"/>
            <w:sz w:val="28"/>
            <w:szCs w:val="28"/>
            <w:lang w:eastAsia="pt-BR"/>
          </w:rPr>
          <w:t>Art. 6º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O fornecimento do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não implica no reconhecimento, por parte da Prefeitura Municipal, do direito de propriedade ou posse sobre o imóvel, bem como da regularização da edificação, nem no </w:t>
      </w:r>
      <w:r w:rsidRPr="00FC3F29">
        <w:rPr>
          <w:bCs/>
          <w:color w:val="444444"/>
          <w:sz w:val="28"/>
          <w:szCs w:val="28"/>
          <w:lang w:eastAsia="pt-BR"/>
        </w:rPr>
        <w:lastRenderedPageBreak/>
        <w:t xml:space="preserve">reconhecimento ou aprovação tácita de loteamento irregular, não possuindo também conotação tributária ou fiscal.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3" w:history="1">
        <w:r w:rsidRPr="00FC3F29">
          <w:rPr>
            <w:bCs/>
            <w:color w:val="000000"/>
            <w:sz w:val="28"/>
            <w:szCs w:val="28"/>
            <w:lang w:eastAsia="pt-BR"/>
          </w:rPr>
          <w:t>Art. 7º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As áreas públicas invadidas, devidamente cadastradas para efeito de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terão prioridades para qualquer programa habitacional ou de urbanização.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4" w:history="1">
        <w:r w:rsidRPr="00FC3F29">
          <w:rPr>
            <w:bCs/>
            <w:color w:val="000000"/>
            <w:sz w:val="28"/>
            <w:szCs w:val="28"/>
            <w:lang w:eastAsia="pt-BR"/>
          </w:rPr>
          <w:t>Art. 8º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 obedecerá à devida </w:t>
      </w:r>
      <w:proofErr w:type="spellStart"/>
      <w:r w:rsidRPr="00FC3F29">
        <w:rPr>
          <w:bCs/>
          <w:color w:val="444444"/>
          <w:sz w:val="28"/>
          <w:szCs w:val="28"/>
          <w:lang w:eastAsia="pt-BR"/>
        </w:rPr>
        <w:t>seqüência</w:t>
      </w:r>
      <w:proofErr w:type="spellEnd"/>
      <w:r w:rsidRPr="00FC3F29">
        <w:rPr>
          <w:bCs/>
          <w:color w:val="444444"/>
          <w:sz w:val="28"/>
          <w:szCs w:val="28"/>
          <w:lang w:eastAsia="pt-BR"/>
        </w:rPr>
        <w:t xml:space="preserve"> a ser estabelecida no levantamento cadastral, tratando-se de área pública invadida, nos loteamentos irregulares, seguirá a </w:t>
      </w:r>
      <w:proofErr w:type="spellStart"/>
      <w:r w:rsidRPr="00FC3F29">
        <w:rPr>
          <w:bCs/>
          <w:color w:val="444444"/>
          <w:sz w:val="28"/>
          <w:szCs w:val="28"/>
          <w:lang w:eastAsia="pt-BR"/>
        </w:rPr>
        <w:t>seqüência</w:t>
      </w:r>
      <w:proofErr w:type="spellEnd"/>
      <w:r w:rsidRPr="00FC3F29">
        <w:rPr>
          <w:bCs/>
          <w:color w:val="444444"/>
          <w:sz w:val="28"/>
          <w:szCs w:val="28"/>
          <w:lang w:eastAsia="pt-BR"/>
        </w:rPr>
        <w:t xml:space="preserve"> métrica a partir do ponto inicial do logradouro, ficando os números pares do lado direito e os números ímpares do lado esquerdo.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5" w:history="1">
        <w:r w:rsidRPr="00FC3F29">
          <w:rPr>
            <w:bCs/>
            <w:color w:val="000000"/>
            <w:sz w:val="28"/>
            <w:szCs w:val="28"/>
            <w:lang w:eastAsia="pt-BR"/>
          </w:rPr>
          <w:t>Art. 9º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Não será concedido </w:t>
      </w:r>
      <w:r>
        <w:rPr>
          <w:bCs/>
          <w:color w:val="444444"/>
          <w:sz w:val="28"/>
          <w:szCs w:val="28"/>
          <w:lang w:eastAsia="pt-BR"/>
        </w:rPr>
        <w:t>número social</w:t>
      </w:r>
      <w:r w:rsidRPr="00FC3F29">
        <w:rPr>
          <w:bCs/>
          <w:color w:val="444444"/>
          <w:sz w:val="28"/>
          <w:szCs w:val="28"/>
          <w:lang w:eastAsia="pt-BR"/>
        </w:rPr>
        <w:t xml:space="preserve">, em qualquer caso, para edificações posteriores a esta Lei.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6" w:history="1">
        <w:r w:rsidRPr="00FC3F29">
          <w:rPr>
            <w:bCs/>
            <w:color w:val="000000"/>
            <w:sz w:val="28"/>
            <w:szCs w:val="28"/>
            <w:lang w:eastAsia="pt-BR"/>
          </w:rPr>
          <w:t>Art. 10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Os casos omissos serão estudados pelo órgão responsável a ser designado pela Prefeitura Municipal, observados os princípios estabelecidos na presente Lei.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7" w:history="1">
        <w:r w:rsidRPr="00FC3F29">
          <w:rPr>
            <w:bCs/>
            <w:color w:val="000000"/>
            <w:sz w:val="28"/>
            <w:szCs w:val="28"/>
            <w:lang w:eastAsia="pt-BR"/>
          </w:rPr>
          <w:t>Art. 11</w:t>
        </w:r>
      </w:hyperlink>
      <w:r w:rsidRPr="00FC3F29">
        <w:rPr>
          <w:bCs/>
          <w:sz w:val="28"/>
          <w:szCs w:val="28"/>
        </w:rPr>
        <w:t xml:space="preserve">. </w:t>
      </w:r>
      <w:r w:rsidRPr="00FC3F29">
        <w:rPr>
          <w:bCs/>
          <w:color w:val="444444"/>
          <w:sz w:val="28"/>
          <w:szCs w:val="28"/>
          <w:lang w:eastAsia="pt-BR"/>
        </w:rPr>
        <w:t xml:space="preserve"> As despesas decorrentes da presente Lei correrão por conta de dotações orçamentárias próprias, complementadas se </w:t>
      </w:r>
      <w:proofErr w:type="gramStart"/>
      <w:r w:rsidRPr="00FC3F29">
        <w:rPr>
          <w:bCs/>
          <w:color w:val="444444"/>
          <w:sz w:val="28"/>
          <w:szCs w:val="28"/>
          <w:lang w:eastAsia="pt-BR"/>
        </w:rPr>
        <w:t>necessário</w:t>
      </w:r>
      <w:proofErr w:type="gramEnd"/>
      <w:r w:rsidRPr="00FC3F29">
        <w:rPr>
          <w:bCs/>
          <w:color w:val="444444"/>
          <w:sz w:val="28"/>
          <w:szCs w:val="28"/>
          <w:lang w:eastAsia="pt-BR"/>
        </w:rPr>
        <w:t xml:space="preserve">. </w:t>
      </w: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spacing w:after="150"/>
        <w:ind w:firstLine="1080"/>
        <w:jc w:val="both"/>
        <w:rPr>
          <w:bCs/>
          <w:color w:val="444444"/>
          <w:sz w:val="28"/>
          <w:szCs w:val="28"/>
          <w:lang w:eastAsia="pt-BR"/>
        </w:rPr>
      </w:pPr>
      <w:hyperlink r:id="rId18" w:history="1">
        <w:r w:rsidRPr="00FC3F29">
          <w:rPr>
            <w:bCs/>
            <w:color w:val="000000"/>
            <w:sz w:val="28"/>
            <w:szCs w:val="28"/>
            <w:lang w:eastAsia="pt-BR"/>
          </w:rPr>
          <w:t xml:space="preserve">Art. </w:t>
        </w:r>
        <w:proofErr w:type="gramStart"/>
        <w:r w:rsidRPr="00FC3F29">
          <w:rPr>
            <w:bCs/>
            <w:color w:val="000000"/>
            <w:sz w:val="28"/>
            <w:szCs w:val="28"/>
            <w:lang w:eastAsia="pt-BR"/>
          </w:rPr>
          <w:t>12.</w:t>
        </w:r>
        <w:proofErr w:type="gramEnd"/>
      </w:hyperlink>
      <w:r w:rsidRPr="00FC3F29">
        <w:rPr>
          <w:bCs/>
          <w:sz w:val="28"/>
          <w:szCs w:val="28"/>
        </w:rPr>
        <w:t xml:space="preserve"> </w:t>
      </w:r>
      <w:r w:rsidRPr="00FC3F29">
        <w:rPr>
          <w:bCs/>
          <w:color w:val="444444"/>
          <w:sz w:val="28"/>
          <w:szCs w:val="28"/>
          <w:lang w:eastAsia="pt-BR"/>
        </w:rPr>
        <w:t xml:space="preserve"> Esta Lei entra em vigor na data de sua publicação, revogadas as disposições em contrário.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tabs>
          <w:tab w:val="left" w:pos="0"/>
          <w:tab w:val="left" w:pos="1134"/>
          <w:tab w:val="left" w:pos="6663"/>
          <w:tab w:val="left" w:pos="7088"/>
        </w:tabs>
        <w:ind w:left="3261" w:right="141" w:firstLine="1417"/>
        <w:rPr>
          <w:bCs/>
          <w:color w:val="444444"/>
          <w:sz w:val="28"/>
          <w:szCs w:val="28"/>
          <w:lang w:eastAsia="pt-BR"/>
        </w:rPr>
      </w:pPr>
    </w:p>
    <w:p w:rsidR="00FD7BDC" w:rsidRPr="00FC3F29" w:rsidRDefault="00FD7BDC" w:rsidP="00FD7BDC">
      <w:pPr>
        <w:ind w:left="-540"/>
        <w:jc w:val="both"/>
        <w:rPr>
          <w:bCs/>
          <w:sz w:val="28"/>
          <w:szCs w:val="28"/>
          <w:u w:val="single"/>
        </w:rPr>
      </w:pPr>
      <w:r w:rsidRPr="00FC3F29">
        <w:rPr>
          <w:bCs/>
          <w:sz w:val="28"/>
          <w:szCs w:val="28"/>
        </w:rPr>
        <w:t xml:space="preserve">                                                </w:t>
      </w:r>
      <w:r w:rsidRPr="00FC3F29">
        <w:rPr>
          <w:bCs/>
          <w:sz w:val="28"/>
          <w:szCs w:val="28"/>
          <w:u w:val="single"/>
        </w:rPr>
        <w:t>JUSTIFICATIVA</w:t>
      </w:r>
    </w:p>
    <w:p w:rsidR="00FD7BDC" w:rsidRPr="00FC3F29" w:rsidRDefault="00FD7BDC" w:rsidP="00FD7BDC">
      <w:pPr>
        <w:ind w:left="-540"/>
        <w:jc w:val="both"/>
        <w:rPr>
          <w:bCs/>
          <w:sz w:val="28"/>
          <w:szCs w:val="28"/>
        </w:rPr>
      </w:pPr>
    </w:p>
    <w:p w:rsidR="00FD7BDC" w:rsidRPr="00FC3F29" w:rsidRDefault="00FD7BDC" w:rsidP="00FD7BDC">
      <w:pPr>
        <w:ind w:left="-540"/>
        <w:jc w:val="both"/>
        <w:rPr>
          <w:bCs/>
          <w:sz w:val="28"/>
          <w:szCs w:val="28"/>
        </w:rPr>
      </w:pPr>
      <w:r w:rsidRPr="00FC3F29">
        <w:rPr>
          <w:bCs/>
          <w:sz w:val="28"/>
          <w:szCs w:val="28"/>
        </w:rPr>
        <w:tab/>
        <w:t>Este Projeto de Lei visa garantir a criação do numero social, a ser concedido pela Prefeitura Municipal, aos imóveis edificados em áreas públicas ou em loteamentos irregulares. O número social substituirá provisoriamente o número oficial, imprescindível para a ligação da energia elétrica e para o fornecimento de água.</w:t>
      </w:r>
    </w:p>
    <w:p w:rsidR="00FD7BDC" w:rsidRPr="00FC3F29" w:rsidRDefault="00FD7BDC" w:rsidP="00FD7BDC">
      <w:pPr>
        <w:ind w:left="-540"/>
        <w:jc w:val="both"/>
        <w:rPr>
          <w:bCs/>
          <w:sz w:val="28"/>
          <w:szCs w:val="28"/>
        </w:rPr>
      </w:pPr>
    </w:p>
    <w:p w:rsidR="00FD7BDC" w:rsidRPr="00FC3F29" w:rsidRDefault="00FD7BDC" w:rsidP="00FD7BDC">
      <w:pPr>
        <w:ind w:left="-540"/>
        <w:jc w:val="both"/>
        <w:rPr>
          <w:bCs/>
          <w:sz w:val="28"/>
          <w:szCs w:val="28"/>
        </w:rPr>
      </w:pPr>
      <w:r w:rsidRPr="00FC3F29">
        <w:rPr>
          <w:bCs/>
          <w:sz w:val="28"/>
          <w:szCs w:val="28"/>
        </w:rPr>
        <w:tab/>
      </w:r>
      <w:proofErr w:type="gramStart"/>
      <w:r w:rsidRPr="00FC3F29">
        <w:rPr>
          <w:bCs/>
          <w:sz w:val="28"/>
          <w:szCs w:val="28"/>
        </w:rPr>
        <w:t>Todos temos</w:t>
      </w:r>
      <w:proofErr w:type="gramEnd"/>
      <w:r w:rsidRPr="00FC3F29">
        <w:rPr>
          <w:bCs/>
          <w:sz w:val="28"/>
          <w:szCs w:val="28"/>
        </w:rPr>
        <w:t xml:space="preserve"> conhecimento das dificuldades que o cidadão enfrenta, principalmente quando reside em imóvel edificado em área pública ou em loteamento irregular. A Prefeitura ao conceder o número social garantirá, por certo, não só um número a casa do cidadão, mas uma vida mais digna as famílias excluídas destes benefícios, que ficam expostas a diversas doenças e vulneráveis a inúmeros problemas.    </w:t>
      </w:r>
    </w:p>
    <w:p w:rsidR="00FD7BDC" w:rsidRPr="00FC3F29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Default="00FD7BDC" w:rsidP="00FD7BDC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>
        <w:rPr>
          <w:color w:val="auto"/>
          <w:szCs w:val="28"/>
        </w:rPr>
        <w:t xml:space="preserve">31 </w:t>
      </w:r>
      <w:r w:rsidRPr="009967EB">
        <w:rPr>
          <w:color w:val="auto"/>
          <w:szCs w:val="28"/>
        </w:rPr>
        <w:t>(</w:t>
      </w:r>
      <w:r>
        <w:rPr>
          <w:color w:val="auto"/>
          <w:szCs w:val="28"/>
        </w:rPr>
        <w:t>trinta e um</w:t>
      </w:r>
      <w:r w:rsidRPr="009967EB">
        <w:rPr>
          <w:color w:val="auto"/>
          <w:szCs w:val="28"/>
        </w:rPr>
        <w:t>) dias do mês de</w:t>
      </w:r>
      <w:r>
        <w:rPr>
          <w:color w:val="auto"/>
          <w:szCs w:val="28"/>
        </w:rPr>
        <w:t xml:space="preserve"> março de 2017</w:t>
      </w:r>
      <w:r w:rsidRPr="009967EB">
        <w:rPr>
          <w:color w:val="auto"/>
          <w:szCs w:val="28"/>
        </w:rPr>
        <w:t>.</w:t>
      </w:r>
    </w:p>
    <w:p w:rsidR="00FD7BDC" w:rsidRDefault="00FD7BDC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1616FD" w:rsidRDefault="001616FD" w:rsidP="00FD7BDC">
      <w:pPr>
        <w:spacing w:after="150"/>
        <w:jc w:val="both"/>
        <w:rPr>
          <w:bCs/>
          <w:color w:val="444444"/>
          <w:sz w:val="28"/>
          <w:szCs w:val="28"/>
          <w:lang w:eastAsia="pt-BR"/>
        </w:rPr>
      </w:pPr>
    </w:p>
    <w:p w:rsidR="00FD7BDC" w:rsidRDefault="00FD7BDC" w:rsidP="00FD7B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Agildo Bacelar da Silva </w:t>
      </w:r>
    </w:p>
    <w:p w:rsidR="00FD7BDC" w:rsidRPr="00FC3F29" w:rsidRDefault="00FD7BDC" w:rsidP="00FD7BDC">
      <w:pPr>
        <w:jc w:val="center"/>
        <w:rPr>
          <w:bCs/>
          <w:i/>
          <w:szCs w:val="28"/>
        </w:rPr>
      </w:pPr>
      <w:r>
        <w:rPr>
          <w:b/>
          <w:sz w:val="28"/>
          <w:szCs w:val="28"/>
        </w:rPr>
        <w:t>V</w:t>
      </w:r>
      <w:r w:rsidRPr="00FC3F29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re</w:t>
      </w:r>
      <w:r w:rsidRPr="00FC3F29">
        <w:rPr>
          <w:b/>
          <w:sz w:val="28"/>
          <w:szCs w:val="28"/>
        </w:rPr>
        <w:t>ador-P</w:t>
      </w:r>
      <w:r>
        <w:rPr>
          <w:b/>
          <w:sz w:val="28"/>
          <w:szCs w:val="28"/>
        </w:rPr>
        <w:t>residente</w:t>
      </w:r>
    </w:p>
    <w:p w:rsidR="003B699B" w:rsidRDefault="003B699B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FD7BDC" w:rsidRDefault="00FD7BDC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FD7BDC" w:rsidRDefault="00FD7BDC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FD7BDC" w:rsidRDefault="00FD7BDC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FD7BDC" w:rsidRPr="00FA5E7C" w:rsidRDefault="00FD7BDC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3B699B" w:rsidRDefault="003B699B" w:rsidP="003B699B"/>
    <w:p w:rsidR="003B699B" w:rsidRDefault="003B699B" w:rsidP="003B699B"/>
    <w:p w:rsidR="003B699B" w:rsidRDefault="003B699B" w:rsidP="003B699B"/>
    <w:sectPr w:rsidR="003B699B" w:rsidSect="0061362C">
      <w:headerReference w:type="default" r:id="rId19"/>
      <w:footerReference w:type="defaul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B60" w:rsidRDefault="00A20F32">
      <w:r>
        <w:separator/>
      </w:r>
    </w:p>
  </w:endnote>
  <w:endnote w:type="continuationSeparator" w:id="0">
    <w:p w:rsidR="00534B60" w:rsidRDefault="00A2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542985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730EBE" w:rsidRPr="00730EBE" w:rsidRDefault="00730EBE" w:rsidP="00730EBE">
        <w:pPr>
          <w:pStyle w:val="Rodap"/>
          <w:jc w:val="center"/>
          <w:rPr>
            <w:sz w:val="18"/>
            <w:szCs w:val="18"/>
          </w:rPr>
        </w:pPr>
        <w:r w:rsidRPr="00730EBE">
          <w:rPr>
            <w:sz w:val="18"/>
            <w:szCs w:val="18"/>
          </w:rPr>
          <w:fldChar w:fldCharType="begin"/>
        </w:r>
        <w:r w:rsidRPr="00730EBE">
          <w:rPr>
            <w:sz w:val="18"/>
            <w:szCs w:val="18"/>
          </w:rPr>
          <w:instrText>PAGE   \* MERGEFORMAT</w:instrText>
        </w:r>
        <w:r w:rsidRPr="00730EBE">
          <w:rPr>
            <w:sz w:val="18"/>
            <w:szCs w:val="18"/>
          </w:rPr>
          <w:fldChar w:fldCharType="separate"/>
        </w:r>
        <w:r w:rsidR="001616FD">
          <w:rPr>
            <w:noProof/>
            <w:sz w:val="18"/>
            <w:szCs w:val="18"/>
          </w:rPr>
          <w:t>4</w:t>
        </w:r>
        <w:r w:rsidRPr="00730EBE">
          <w:rPr>
            <w:sz w:val="18"/>
            <w:szCs w:val="18"/>
          </w:rPr>
          <w:fldChar w:fldCharType="end"/>
        </w:r>
      </w:p>
    </w:sdtContent>
  </w:sdt>
  <w:p w:rsidR="00730EBE" w:rsidRDefault="00730EB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B60" w:rsidRDefault="00A20F32">
      <w:r>
        <w:separator/>
      </w:r>
    </w:p>
  </w:footnote>
  <w:footnote w:type="continuationSeparator" w:id="0">
    <w:p w:rsidR="00534B60" w:rsidRDefault="00A2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62C" w:rsidRDefault="0061362C">
    <w:pPr>
      <w:pStyle w:val="Ttulo3"/>
    </w:pPr>
    <w:r>
      <w:t>PODER LEGISLATIVO</w:t>
    </w:r>
  </w:p>
  <w:p w:rsidR="0061362C" w:rsidRDefault="0061362C">
    <w:pPr>
      <w:jc w:val="center"/>
    </w:pPr>
    <w:r>
      <w:rPr>
        <w:noProof/>
        <w:lang w:eastAsia="pt-BR"/>
      </w:rPr>
      <w:drawing>
        <wp:inline distT="0" distB="0" distL="0" distR="0" wp14:anchorId="2128FD81" wp14:editId="3C92109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62C" w:rsidRDefault="006136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1362C" w:rsidRDefault="0061362C">
    <w:pPr>
      <w:pStyle w:val="Ttulo4"/>
    </w:pPr>
    <w:r>
      <w:t>PALÁCIO VEREADOR ALBERTO RIBEIRO PINTO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A17B7D">
      <w:rPr>
        <w:rFonts w:ascii="Arial" w:hAnsi="Arial"/>
        <w:b/>
        <w:color w:val="000000"/>
        <w:spacing w:val="30"/>
        <w:sz w:val="16"/>
      </w:rPr>
      <w:t>E-</w:t>
    </w:r>
    <w:r w:rsidR="00A17B7D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A17B7D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1362C" w:rsidRDefault="0061362C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1616FD"/>
    <w:rsid w:val="0028676A"/>
    <w:rsid w:val="003748EC"/>
    <w:rsid w:val="003B699B"/>
    <w:rsid w:val="00534B60"/>
    <w:rsid w:val="0061362C"/>
    <w:rsid w:val="006142BE"/>
    <w:rsid w:val="0063304F"/>
    <w:rsid w:val="006B11F9"/>
    <w:rsid w:val="00730EBE"/>
    <w:rsid w:val="00804E14"/>
    <w:rsid w:val="008D33FA"/>
    <w:rsid w:val="008E630A"/>
    <w:rsid w:val="009510DC"/>
    <w:rsid w:val="00A17B7D"/>
    <w:rsid w:val="00A20F32"/>
    <w:rsid w:val="00B40471"/>
    <w:rsid w:val="00D84F5F"/>
    <w:rsid w:val="00DB6FFB"/>
    <w:rsid w:val="00DD62F4"/>
    <w:rsid w:val="00DD696B"/>
    <w:rsid w:val="00FD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legislacao/anotada/5232159/art-2-da-lei-1949-01-embu" TargetMode="External"/><Relationship Id="rId13" Type="http://schemas.openxmlformats.org/officeDocument/2006/relationships/hyperlink" Target="http://www.jusbrasil.com.br/legislacao/anotada/5232014/art-8-da-lei-1949-01-embu" TargetMode="External"/><Relationship Id="rId18" Type="http://schemas.openxmlformats.org/officeDocument/2006/relationships/hyperlink" Target="http://www.jusbrasil.com.br/legislacao/anotada/5231975/art-13-da-lei-1949-01-emb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jusbrasil.com.br/legislacao/anotada/5232223/art-1-da-lei-1949-01-embu" TargetMode="External"/><Relationship Id="rId12" Type="http://schemas.openxmlformats.org/officeDocument/2006/relationships/hyperlink" Target="http://www.jusbrasil.com.br/legislacao/anotada/5232021/art-7-da-lei-1949-01-embu" TargetMode="External"/><Relationship Id="rId17" Type="http://schemas.openxmlformats.org/officeDocument/2006/relationships/hyperlink" Target="http://www.jusbrasil.com.br/legislacao/anotada/5231984/art-12-da-lei-1949-01-emb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jusbrasil.com.br/legislacao/anotada/5231990/art-11-da-lei-1949-01-embu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jusbrasil.com.br/legislacao/anotada/5232030/art-6-da-lei-1949-01-emb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jusbrasil.com.br/legislacao/anotada/5231999/art-10-da-lei-1949-01-embu" TargetMode="External"/><Relationship Id="rId10" Type="http://schemas.openxmlformats.org/officeDocument/2006/relationships/hyperlink" Target="http://www.jusbrasil.com.br/legislacao/anotada/5232049/art-5-da-lei-1949-01-embu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jusbrasil.com.br/legislacao/anotada/5232138/art-3-da-lei-1949-01-embu" TargetMode="External"/><Relationship Id="rId14" Type="http://schemas.openxmlformats.org/officeDocument/2006/relationships/hyperlink" Target="http://www.jusbrasil.com.br/legislacao/anotada/5232007/art-9-da-lei-1949-01-embu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1010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2017-04-04T17:27:00Z</cp:lastPrinted>
  <dcterms:created xsi:type="dcterms:W3CDTF">2017-03-31T12:17:00Z</dcterms:created>
  <dcterms:modified xsi:type="dcterms:W3CDTF">2017-04-04T17:28:00Z</dcterms:modified>
</cp:coreProperties>
</file>