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C826B1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631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802919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0291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802919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80291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802919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C826B1" w:rsidRPr="00C826B1">
        <w:t xml:space="preserve"> </w:t>
      </w:r>
      <w:r w:rsidR="00C826B1" w:rsidRPr="00C826B1">
        <w:rPr>
          <w:sz w:val="24"/>
          <w:szCs w:val="24"/>
        </w:rPr>
        <w:t>estudos técnicos visando a substituição gradual de toda a frota de veículos utilizados no atendimento público por veículos elétricos</w:t>
      </w:r>
      <w:r w:rsidR="0038222A" w:rsidRPr="00802919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C826B1" w:rsidRPr="00C826B1" w:rsidRDefault="00C826B1" w:rsidP="00C826B1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826B1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promover a modernização da gestão pública municipal, alinhando-a às práticas sustentáveis e às diretrizes de preservação ambiental.</w:t>
      </w:r>
    </w:p>
    <w:p w:rsidR="00C826B1" w:rsidRPr="00C826B1" w:rsidRDefault="00C826B1" w:rsidP="00C826B1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826B1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substituição da frota por veículos elétricos apresenta diversas vantagens, tais como: Redução da emissão de poluentes, diminuição dos custos operacionais, uma vez que veículos elétricos possuem menor gasto com combustível e manutenção, menor poluição sonora, alinhamento com políticas ambientais globais e nacionais, fortalecendo a imagem do município como sustentável e inovador. </w:t>
      </w:r>
    </w:p>
    <w:p w:rsidR="001C2D93" w:rsidRDefault="00C826B1" w:rsidP="00C826B1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826B1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a iniciativa pode ser implementada de forma gradual, respeitando a capacidade orçamentária do município, podendo inclusive contar com parcerias público-privadas e incentivos governamentais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B422D4">
        <w:rPr>
          <w:rFonts w:asciiTheme="minorHAnsi" w:hAnsiTheme="minorHAnsi" w:cstheme="minorHAnsi"/>
          <w:sz w:val="24"/>
          <w:szCs w:val="24"/>
        </w:rPr>
        <w:t>11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B422D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B422D4">
        <w:rPr>
          <w:rFonts w:asciiTheme="minorHAnsi" w:eastAsia="Arial" w:hAnsiTheme="minorHAnsi" w:cstheme="minorHAnsi"/>
          <w:b/>
          <w:sz w:val="24"/>
          <w:szCs w:val="24"/>
        </w:rPr>
        <w:t>Alex Fabiano Moreira</w:t>
      </w:r>
      <w:r w:rsidR="003C71C4" w:rsidRPr="002327CF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"/>
  </w:num>
  <w:num w:numId="3">
    <w:abstractNumId w:val="6"/>
  </w:num>
  <w:num w:numId="4">
    <w:abstractNumId w:val="3"/>
  </w:num>
  <w:num w:numId="5">
    <w:abstractNumId w:val="12"/>
  </w:num>
  <w:num w:numId="6">
    <w:abstractNumId w:val="4"/>
  </w:num>
  <w:num w:numId="7">
    <w:abstractNumId w:val="13"/>
  </w:num>
  <w:num w:numId="8">
    <w:abstractNumId w:val="7"/>
  </w:num>
  <w:num w:numId="9">
    <w:abstractNumId w:val="10"/>
  </w:num>
  <w:num w:numId="10">
    <w:abstractNumId w:val="0"/>
  </w:num>
  <w:num w:numId="11">
    <w:abstractNumId w:val="9"/>
  </w:num>
  <w:num w:numId="12">
    <w:abstractNumId w:val="2"/>
  </w:num>
  <w:num w:numId="13">
    <w:abstractNumId w:val="5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76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6129"/>
    <o:shapelayout v:ext="edit">
      <o:idmap v:ext="edit" data="1"/>
    </o:shapelayout>
  </w:shapeDefaults>
  <w:decimalSymbol w:val=","/>
  <w:listSeparator w:val=";"/>
  <w14:docId w14:val="06C62FCE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155E7B8-D270-4358-A2D3-9F73EC1B5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181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107</cp:revision>
  <cp:lastPrinted>2023-06-23T16:25:00Z</cp:lastPrinted>
  <dcterms:created xsi:type="dcterms:W3CDTF">2026-02-09T16:25:00Z</dcterms:created>
  <dcterms:modified xsi:type="dcterms:W3CDTF">2026-04-29T13:07:00Z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