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2834.645669291339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252/2026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spacing w:after="80" w:before="280" w:line="276" w:lineRule="auto"/>
        <w:ind w:left="0" w:right="600" w:firstLine="0"/>
        <w:rPr>
          <w:sz w:val="26"/>
          <w:szCs w:val="26"/>
        </w:rPr>
      </w:pPr>
      <w:bookmarkStart w:colFirst="0" w:colLast="0" w:name="_heading=h.rucdp3t4kzry" w:id="0"/>
      <w:bookmarkEnd w:id="0"/>
      <w:r w:rsidDel="00000000" w:rsidR="00000000" w:rsidRPr="00000000">
        <w:rPr>
          <w:sz w:val="26"/>
          <w:szCs w:val="26"/>
          <w:rtl w:val="0"/>
        </w:rPr>
        <w:t xml:space="preserve">EMENDA MODIFICATIVA</w:t>
      </w:r>
    </w:p>
    <w:p w:rsidR="00000000" w:rsidDel="00000000" w:rsidP="00000000" w:rsidRDefault="00000000" w:rsidRPr="00000000" w14:paraId="00000005">
      <w:pPr>
        <w:spacing w:after="240" w:before="240" w:line="276" w:lineRule="auto"/>
        <w:ind w:left="2834.645669291339" w:firstLine="0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Altera o artigo 6º do Projeto de Lei nº 252/2026.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artigo 6º do Projeto de Lei nº 252/2026 passa a vigorar com a seguinte redação:</w:t>
      </w:r>
    </w:p>
    <w:p w:rsidR="00000000" w:rsidDel="00000000" w:rsidP="00000000" w:rsidRDefault="00000000" w:rsidRPr="00000000" w14:paraId="00000007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6º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Os valores da tabela municipal poderão ser atualizados periodicamente por decreto do Poder Executivo, mediante:</w:t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análise técnica da Secretaria Municipal de Saúde;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pesquisa regional dos valores praticados para serviços equivalentes;</w:t>
      </w:r>
    </w:p>
    <w:p w:rsidR="00000000" w:rsidDel="00000000" w:rsidP="00000000" w:rsidRDefault="00000000" w:rsidRPr="00000000" w14:paraId="0000000A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observância dos indicadores de demanda assistencial do Município;</w:t>
      </w:r>
    </w:p>
    <w:p w:rsidR="00000000" w:rsidDel="00000000" w:rsidP="00000000" w:rsidRDefault="00000000" w:rsidRPr="00000000" w14:paraId="0000000B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IV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prévia comunicação ao Conselho Municipal de Saúde, assegurada a possibilidade de manifestação no âmbito do controle social da política pública de saúde; e</w:t>
      </w:r>
    </w:p>
    <w:p w:rsidR="00000000" w:rsidDel="00000000" w:rsidP="00000000" w:rsidRDefault="00000000" w:rsidRPr="00000000" w14:paraId="0000000C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observância da disponibilidade orçamentária e financeira do Município.”</w:t>
      </w:r>
    </w:p>
    <w:p w:rsidR="00000000" w:rsidDel="00000000" w:rsidP="00000000" w:rsidRDefault="00000000" w:rsidRPr="00000000" w14:paraId="0000000D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E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4">
      <w:pPr>
        <w:spacing w:after="240" w:before="240" w:line="276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objetiva estabelecer critérios mínimos de transparência, fundamentação técnica e controle administrativo para futuras revisões da tabela municipal de remuneração dos serviços complementares de saúde.</w:t>
      </w:r>
    </w:p>
    <w:p w:rsidR="00000000" w:rsidDel="00000000" w:rsidP="00000000" w:rsidRDefault="00000000" w:rsidRPr="00000000" w14:paraId="00000015">
      <w:pPr>
        <w:spacing w:after="240" w:before="240" w:line="276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medida busca assegurar que eventuais atualizações dos valores observem parâmetros relacionados à realidade regional dos serviços prestados, à demanda assistencial existente no Município, à capacidade financeira da Administração Pública e ao acompanhamento institucional pelo Conselho Municipal de Saúde, fortalecendo os mecanismos de planejamento, publicidade e controle social da política pública.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7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B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gfgkNJX4fKdArTy8rAWKuY3ylw==">CgMxLjAyDmgucnVjZHAzdDRrenJ5OAByITF1U19MMTFvaWctN2R1MHhxczhYS21aNGZhcUJLc0l0dQ==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