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C5DE" w14:textId="5F5D3E5F" w:rsidR="000662EA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PARECER DAS COMISSÕES PERMANENTES Nº 0</w:t>
      </w:r>
      <w:r w:rsidR="0010563D">
        <w:rPr>
          <w:rFonts w:ascii="Cambria" w:hAnsi="Cambria" w:cstheme="minorHAnsi"/>
          <w:b/>
          <w:bCs/>
          <w:sz w:val="22"/>
          <w:szCs w:val="22"/>
          <w:u w:val="single"/>
        </w:rPr>
        <w:t>2</w:t>
      </w:r>
      <w:r w:rsidR="00530312">
        <w:rPr>
          <w:rFonts w:ascii="Cambria" w:hAnsi="Cambria" w:cstheme="minorHAnsi"/>
          <w:b/>
          <w:bCs/>
          <w:sz w:val="22"/>
          <w:szCs w:val="22"/>
          <w:u w:val="single"/>
        </w:rPr>
        <w:t>9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/202</w:t>
      </w:r>
      <w:r w:rsidR="00D8612B">
        <w:rPr>
          <w:rFonts w:ascii="Cambria" w:hAnsi="Cambria" w:cstheme="minorHAnsi"/>
          <w:b/>
          <w:bCs/>
          <w:sz w:val="22"/>
          <w:szCs w:val="22"/>
          <w:u w:val="single"/>
        </w:rPr>
        <w:t>6</w:t>
      </w:r>
    </w:p>
    <w:p w14:paraId="26A61A0D" w14:textId="77777777" w:rsidR="00C055ED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198A2891" w14:textId="77777777" w:rsidR="00530312" w:rsidRDefault="00530312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530312">
        <w:rPr>
          <w:rFonts w:ascii="Cambria" w:hAnsi="Cambria" w:cstheme="minorHAnsi"/>
          <w:b/>
          <w:bCs/>
          <w:sz w:val="22"/>
          <w:szCs w:val="22"/>
        </w:rPr>
        <w:t>Projetos de Lei nº 024/2026 e nº 025/2026</w:t>
      </w:r>
    </w:p>
    <w:p w14:paraId="4573C0EE" w14:textId="3A8BA01C" w:rsidR="002F53D0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 xml:space="preserve">Autoria: </w:t>
      </w:r>
      <w:r w:rsidR="0010563D" w:rsidRPr="0010563D">
        <w:rPr>
          <w:rFonts w:ascii="Cambria" w:hAnsi="Cambria" w:cstheme="minorHAnsi"/>
          <w:sz w:val="22"/>
          <w:szCs w:val="22"/>
        </w:rPr>
        <w:t xml:space="preserve">Vereador </w:t>
      </w:r>
      <w:proofErr w:type="spellStart"/>
      <w:r w:rsidR="0010563D" w:rsidRPr="0010563D">
        <w:rPr>
          <w:rFonts w:ascii="Cambria" w:hAnsi="Cambria" w:cstheme="minorHAnsi"/>
          <w:sz w:val="22"/>
          <w:szCs w:val="22"/>
        </w:rPr>
        <w:t>Jemmifran</w:t>
      </w:r>
      <w:proofErr w:type="spellEnd"/>
      <w:r w:rsidR="0010563D" w:rsidRPr="0010563D">
        <w:rPr>
          <w:rFonts w:ascii="Cambria" w:hAnsi="Cambria" w:cstheme="minorHAnsi"/>
          <w:sz w:val="22"/>
          <w:szCs w:val="22"/>
        </w:rPr>
        <w:t xml:space="preserve"> da Silva Dantas</w:t>
      </w:r>
    </w:p>
    <w:p w14:paraId="47A0163E" w14:textId="7FBEC2AF" w:rsidR="00AC61C5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Ementa</w:t>
      </w:r>
      <w:r w:rsidR="00D8612B">
        <w:rPr>
          <w:rFonts w:ascii="Cambria" w:hAnsi="Cambria" w:cstheme="minorHAnsi"/>
          <w:b/>
          <w:bCs/>
          <w:sz w:val="22"/>
          <w:szCs w:val="22"/>
        </w:rPr>
        <w:t>:</w:t>
      </w:r>
      <w:r w:rsidR="004E37C2" w:rsidRPr="004E37C2">
        <w:t xml:space="preserve"> </w:t>
      </w:r>
      <w:r w:rsidR="0010563D" w:rsidRPr="0010563D">
        <w:rPr>
          <w:rFonts w:ascii="Cambria" w:hAnsi="Cambria" w:cstheme="minorHAnsi"/>
          <w:sz w:val="22"/>
          <w:szCs w:val="22"/>
        </w:rPr>
        <w:t xml:space="preserve">Dispõem sobre </w:t>
      </w:r>
      <w:r w:rsidR="00530312" w:rsidRPr="00530312">
        <w:rPr>
          <w:rFonts w:ascii="Cambria" w:hAnsi="Cambria" w:cstheme="minorHAnsi"/>
          <w:sz w:val="22"/>
          <w:szCs w:val="22"/>
        </w:rPr>
        <w:t>a Política Municipal de Prevenção e Enfrentamento ao Etarismo e autorizam a instituição do Programa Municipal de Preparo para Aposentadoria, no âmbito do Município de Carnaúba dos Dantas/RN, e dão outras providências</w:t>
      </w:r>
      <w:r w:rsidR="0010563D" w:rsidRPr="0010563D">
        <w:rPr>
          <w:rFonts w:ascii="Cambria" w:hAnsi="Cambria" w:cstheme="minorHAnsi"/>
          <w:sz w:val="22"/>
          <w:szCs w:val="22"/>
        </w:rPr>
        <w:t>.</w:t>
      </w:r>
    </w:p>
    <w:p w14:paraId="2FD3E014" w14:textId="77777777" w:rsidR="004E37C2" w:rsidRPr="00107BD9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765144E" w14:textId="159F62F3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 - RELATÓRIO</w:t>
      </w:r>
    </w:p>
    <w:p w14:paraId="66C3C2CD" w14:textId="77777777" w:rsidR="00530312" w:rsidRPr="00530312" w:rsidRDefault="00530312" w:rsidP="00530312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Os </w:t>
      </w:r>
      <w:r w:rsidRPr="00530312">
        <w:rPr>
          <w:rFonts w:ascii="Cambria" w:hAnsi="Cambria" w:cstheme="minorHAnsi"/>
          <w:b/>
          <w:bCs/>
          <w:sz w:val="22"/>
          <w:szCs w:val="22"/>
        </w:rPr>
        <w:t>Projetos de Lei nº 024/2026 e nº 025/2026</w:t>
      </w:r>
      <w:r w:rsidRPr="00530312">
        <w:rPr>
          <w:rFonts w:ascii="Cambria" w:hAnsi="Cambria" w:cstheme="minorHAnsi"/>
          <w:sz w:val="22"/>
          <w:szCs w:val="22"/>
        </w:rPr>
        <w:t xml:space="preserve">, ambos de autoria do Vereador </w:t>
      </w:r>
      <w:proofErr w:type="spellStart"/>
      <w:r w:rsidRPr="00530312">
        <w:rPr>
          <w:rFonts w:ascii="Cambria" w:hAnsi="Cambria" w:cstheme="minorHAnsi"/>
          <w:b/>
          <w:bCs/>
          <w:sz w:val="22"/>
          <w:szCs w:val="22"/>
        </w:rPr>
        <w:t>Jemmifran</w:t>
      </w:r>
      <w:proofErr w:type="spellEnd"/>
      <w:r w:rsidRPr="00530312">
        <w:rPr>
          <w:rFonts w:ascii="Cambria" w:hAnsi="Cambria" w:cstheme="minorHAnsi"/>
          <w:b/>
          <w:bCs/>
          <w:sz w:val="22"/>
          <w:szCs w:val="22"/>
        </w:rPr>
        <w:t xml:space="preserve"> da Silva Dantas</w:t>
      </w:r>
      <w:r w:rsidRPr="00530312">
        <w:rPr>
          <w:rFonts w:ascii="Cambria" w:hAnsi="Cambria" w:cstheme="minorHAnsi"/>
          <w:sz w:val="22"/>
          <w:szCs w:val="22"/>
        </w:rPr>
        <w:t xml:space="preserve">, foram apresentados a esta Casa Legislativa com a finalidade de instituir políticas públicas voltadas à </w:t>
      </w:r>
      <w:r w:rsidRPr="00530312">
        <w:rPr>
          <w:rFonts w:ascii="Cambria" w:hAnsi="Cambria" w:cstheme="minorHAnsi"/>
          <w:b/>
          <w:bCs/>
          <w:sz w:val="22"/>
          <w:szCs w:val="22"/>
        </w:rPr>
        <w:t>promoção do envelhecimento digno, ativo e inclusivo</w:t>
      </w:r>
      <w:r w:rsidRPr="00530312">
        <w:rPr>
          <w:rFonts w:ascii="Cambria" w:hAnsi="Cambria" w:cstheme="minorHAnsi"/>
          <w:sz w:val="22"/>
          <w:szCs w:val="22"/>
        </w:rPr>
        <w:t>, bem como ao fortalecimento da proteção social e valorização da pessoa idosa no âmbito municipal.</w:t>
      </w:r>
    </w:p>
    <w:p w14:paraId="7F1527BB" w14:textId="77777777" w:rsidR="00530312" w:rsidRPr="00530312" w:rsidRDefault="00530312" w:rsidP="00530312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O </w:t>
      </w:r>
      <w:r w:rsidRPr="00530312">
        <w:rPr>
          <w:rFonts w:ascii="Cambria" w:hAnsi="Cambria" w:cstheme="minorHAnsi"/>
          <w:b/>
          <w:bCs/>
          <w:sz w:val="22"/>
          <w:szCs w:val="22"/>
        </w:rPr>
        <w:t>Projeto de Lei nº 024/2026</w:t>
      </w:r>
      <w:r w:rsidRPr="00530312">
        <w:rPr>
          <w:rFonts w:ascii="Cambria" w:hAnsi="Cambria" w:cstheme="minorHAnsi"/>
          <w:sz w:val="22"/>
          <w:szCs w:val="22"/>
        </w:rPr>
        <w:t xml:space="preserve"> tem por objetivo instituir a </w:t>
      </w:r>
      <w:r w:rsidRPr="00530312">
        <w:rPr>
          <w:rFonts w:ascii="Cambria" w:hAnsi="Cambria" w:cstheme="minorHAnsi"/>
          <w:b/>
          <w:bCs/>
          <w:sz w:val="22"/>
          <w:szCs w:val="22"/>
        </w:rPr>
        <w:t>Política Municipal de Prevenção e Enfrentamento ao Etarismo</w:t>
      </w:r>
      <w:r w:rsidRPr="00530312">
        <w:rPr>
          <w:rFonts w:ascii="Cambria" w:hAnsi="Cambria" w:cstheme="minorHAnsi"/>
          <w:sz w:val="22"/>
          <w:szCs w:val="22"/>
        </w:rPr>
        <w:t>, visando combater práticas discriminatórias relacionadas à idade, especialmente contra pessoas idosas, promovendo ações educativas, de conscientização social e incentivo à convivência intergeracional.</w:t>
      </w:r>
    </w:p>
    <w:p w14:paraId="69A23B66" w14:textId="77777777" w:rsidR="00530312" w:rsidRPr="00530312" w:rsidRDefault="00530312" w:rsidP="00530312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O </w:t>
      </w:r>
      <w:r w:rsidRPr="00530312">
        <w:rPr>
          <w:rFonts w:ascii="Cambria" w:hAnsi="Cambria" w:cstheme="minorHAnsi"/>
          <w:b/>
          <w:bCs/>
          <w:sz w:val="22"/>
          <w:szCs w:val="22"/>
        </w:rPr>
        <w:t>Projeto de Lei nº 025/2026</w:t>
      </w:r>
      <w:r w:rsidRPr="00530312">
        <w:rPr>
          <w:rFonts w:ascii="Cambria" w:hAnsi="Cambria" w:cstheme="minorHAnsi"/>
          <w:sz w:val="22"/>
          <w:szCs w:val="22"/>
        </w:rPr>
        <w:t xml:space="preserve"> autoriza a instituição do </w:t>
      </w:r>
      <w:r w:rsidRPr="00530312">
        <w:rPr>
          <w:rFonts w:ascii="Cambria" w:hAnsi="Cambria" w:cstheme="minorHAnsi"/>
          <w:b/>
          <w:bCs/>
          <w:sz w:val="22"/>
          <w:szCs w:val="22"/>
        </w:rPr>
        <w:t>Programa Municipal de Preparo para Aposentadoria</w:t>
      </w:r>
      <w:r w:rsidRPr="00530312">
        <w:rPr>
          <w:rFonts w:ascii="Cambria" w:hAnsi="Cambria" w:cstheme="minorHAnsi"/>
          <w:sz w:val="22"/>
          <w:szCs w:val="22"/>
        </w:rPr>
        <w:t>, destinado prioritariamente aos servidores públicos municipais em fase de transição para a aposentadoria, promovendo orientação previdenciária, planejamento financeiro, fortalecimento emocional e desenvolvimento de novos projetos de vida.</w:t>
      </w:r>
    </w:p>
    <w:p w14:paraId="0FCDABAC" w14:textId="77777777" w:rsidR="00530312" w:rsidRPr="00530312" w:rsidRDefault="00530312" w:rsidP="00530312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As proposições possuem </w:t>
      </w:r>
      <w:r w:rsidRPr="00530312">
        <w:rPr>
          <w:rFonts w:ascii="Cambria" w:hAnsi="Cambria" w:cstheme="minorHAnsi"/>
          <w:b/>
          <w:bCs/>
          <w:sz w:val="22"/>
          <w:szCs w:val="22"/>
        </w:rPr>
        <w:t>caráter programático e orientador</w:t>
      </w:r>
      <w:r w:rsidRPr="00530312">
        <w:rPr>
          <w:rFonts w:ascii="Cambria" w:hAnsi="Cambria" w:cstheme="minorHAnsi"/>
          <w:sz w:val="22"/>
          <w:szCs w:val="22"/>
        </w:rPr>
        <w:t xml:space="preserve">, não implicando criação automática de cargos ou aumento obrigatório de despesas públicas, cabendo ao Poder Executivo </w:t>
      </w:r>
      <w:r w:rsidRPr="00530312">
        <w:rPr>
          <w:rFonts w:ascii="Cambria" w:hAnsi="Cambria" w:cstheme="minorHAnsi"/>
          <w:sz w:val="22"/>
          <w:szCs w:val="22"/>
        </w:rPr>
        <w:lastRenderedPageBreak/>
        <w:t>regulamentar sua implementação conforme conveniência administrativa e disponibilidade orçamentária.</w:t>
      </w:r>
    </w:p>
    <w:p w14:paraId="6B3FB0C3" w14:textId="77777777" w:rsidR="00D0257B" w:rsidRPr="00D0257B" w:rsidRDefault="00D0257B" w:rsidP="00D0257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D0257B">
        <w:rPr>
          <w:rFonts w:ascii="Cambria" w:hAnsi="Cambria" w:cstheme="minorHAnsi"/>
          <w:sz w:val="22"/>
          <w:szCs w:val="22"/>
        </w:rPr>
        <w:t xml:space="preserve">Nos termos do </w:t>
      </w:r>
      <w:r w:rsidRPr="00D0257B">
        <w:rPr>
          <w:rFonts w:ascii="Cambria" w:hAnsi="Cambria" w:cstheme="minorHAnsi"/>
          <w:b/>
          <w:bCs/>
          <w:sz w:val="22"/>
          <w:szCs w:val="22"/>
        </w:rPr>
        <w:t>art. 22 do Regimento Interno da Câmara Municipal de Carnaúba dos Dantas/RN</w:t>
      </w:r>
      <w:r w:rsidRPr="00D0257B">
        <w:rPr>
          <w:rFonts w:ascii="Cambria" w:hAnsi="Cambria" w:cstheme="minorHAnsi"/>
          <w:sz w:val="22"/>
          <w:szCs w:val="22"/>
        </w:rPr>
        <w:t>, a matéria foi encaminhada à Comissão de Constituição, Justiça e Redação Final para análise quanto aos aspectos de constitucionalidade, legalidade e técnica legislativa.</w:t>
      </w:r>
    </w:p>
    <w:p w14:paraId="57B91CED" w14:textId="77777777" w:rsidR="00D8612B" w:rsidRPr="00107BD9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288F67A0" w14:textId="7A575827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 - ANÁLISE JURÍDICA </w:t>
      </w:r>
    </w:p>
    <w:p w14:paraId="15BC82B5" w14:textId="77777777" w:rsidR="00530312" w:rsidRPr="00530312" w:rsidRDefault="00530312" w:rsidP="00530312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Os </w:t>
      </w:r>
      <w:r w:rsidRPr="00530312">
        <w:rPr>
          <w:rFonts w:ascii="Cambria" w:hAnsi="Cambria" w:cstheme="minorHAnsi"/>
          <w:b/>
          <w:bCs/>
          <w:sz w:val="22"/>
          <w:szCs w:val="22"/>
        </w:rPr>
        <w:t>Projetos de Lei nº 024/2026 e nº 025/2026</w:t>
      </w:r>
      <w:r w:rsidRPr="00530312">
        <w:rPr>
          <w:rFonts w:ascii="Cambria" w:hAnsi="Cambria" w:cstheme="minorHAnsi"/>
          <w:sz w:val="22"/>
          <w:szCs w:val="22"/>
        </w:rPr>
        <w:t xml:space="preserve"> tratam da instituição de políticas públicas voltadas à </w:t>
      </w:r>
      <w:r w:rsidRPr="00530312">
        <w:rPr>
          <w:rFonts w:ascii="Cambria" w:hAnsi="Cambria" w:cstheme="minorHAnsi"/>
          <w:b/>
          <w:bCs/>
          <w:sz w:val="22"/>
          <w:szCs w:val="22"/>
        </w:rPr>
        <w:t>promoção da dignidade da pessoa idosa</w:t>
      </w:r>
      <w:r w:rsidRPr="00530312">
        <w:rPr>
          <w:rFonts w:ascii="Cambria" w:hAnsi="Cambria" w:cstheme="minorHAnsi"/>
          <w:sz w:val="22"/>
          <w:szCs w:val="22"/>
        </w:rPr>
        <w:t xml:space="preserve">, ao </w:t>
      </w:r>
      <w:r w:rsidRPr="00530312">
        <w:rPr>
          <w:rFonts w:ascii="Cambria" w:hAnsi="Cambria" w:cstheme="minorHAnsi"/>
          <w:b/>
          <w:bCs/>
          <w:sz w:val="22"/>
          <w:szCs w:val="22"/>
        </w:rPr>
        <w:t>enfrentamento da discriminação etária</w:t>
      </w:r>
      <w:r w:rsidRPr="00530312">
        <w:rPr>
          <w:rFonts w:ascii="Cambria" w:hAnsi="Cambria" w:cstheme="minorHAnsi"/>
          <w:sz w:val="22"/>
          <w:szCs w:val="22"/>
        </w:rPr>
        <w:t xml:space="preserve"> e à </w:t>
      </w:r>
      <w:r w:rsidRPr="00530312">
        <w:rPr>
          <w:rFonts w:ascii="Cambria" w:hAnsi="Cambria" w:cstheme="minorHAnsi"/>
          <w:b/>
          <w:bCs/>
          <w:sz w:val="22"/>
          <w:szCs w:val="22"/>
        </w:rPr>
        <w:t>preparação para a aposentadoria</w:t>
      </w:r>
      <w:r w:rsidRPr="00530312">
        <w:rPr>
          <w:rFonts w:ascii="Cambria" w:hAnsi="Cambria" w:cstheme="minorHAnsi"/>
          <w:sz w:val="22"/>
          <w:szCs w:val="22"/>
        </w:rPr>
        <w:t xml:space="preserve">, matérias que se inserem na </w:t>
      </w:r>
      <w:r w:rsidRPr="00530312">
        <w:rPr>
          <w:rFonts w:ascii="Cambria" w:hAnsi="Cambria" w:cstheme="minorHAnsi"/>
          <w:b/>
          <w:bCs/>
          <w:sz w:val="22"/>
          <w:szCs w:val="22"/>
        </w:rPr>
        <w:t>competência legislativa municipal</w:t>
      </w:r>
      <w:r w:rsidRPr="00530312">
        <w:rPr>
          <w:rFonts w:ascii="Cambria" w:hAnsi="Cambria" w:cstheme="minorHAnsi"/>
          <w:sz w:val="22"/>
          <w:szCs w:val="22"/>
        </w:rPr>
        <w:t xml:space="preserve">, por versarem sobre assunto de interesse local, nos termos do </w:t>
      </w:r>
      <w:r w:rsidRPr="00530312">
        <w:rPr>
          <w:rFonts w:ascii="Cambria" w:hAnsi="Cambria" w:cstheme="minorHAnsi"/>
          <w:b/>
          <w:bCs/>
          <w:sz w:val="22"/>
          <w:szCs w:val="22"/>
        </w:rPr>
        <w:t>art. 30, incisos I e II, da Constituição Federal</w:t>
      </w:r>
      <w:r w:rsidRPr="00530312">
        <w:rPr>
          <w:rFonts w:ascii="Cambria" w:hAnsi="Cambria" w:cstheme="minorHAnsi"/>
          <w:sz w:val="22"/>
          <w:szCs w:val="22"/>
        </w:rPr>
        <w:t>, que atribuem aos Municípios competência para legislar sobre assuntos de interesse local e suplementar a legislação federal e estadual no que couber.</w:t>
      </w:r>
    </w:p>
    <w:p w14:paraId="7BEF19AA" w14:textId="77777777" w:rsidR="00530312" w:rsidRPr="00530312" w:rsidRDefault="00530312" w:rsidP="00530312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No âmbito municipal, a </w:t>
      </w:r>
      <w:r w:rsidRPr="00530312">
        <w:rPr>
          <w:rFonts w:ascii="Cambria" w:hAnsi="Cambria" w:cstheme="minorHAnsi"/>
          <w:b/>
          <w:bCs/>
          <w:sz w:val="22"/>
          <w:szCs w:val="22"/>
        </w:rPr>
        <w:t>Lei Orgânica do Município de Carnaúba dos Dantas</w:t>
      </w:r>
      <w:r w:rsidRPr="00530312">
        <w:rPr>
          <w:rFonts w:ascii="Cambria" w:hAnsi="Cambria" w:cstheme="minorHAnsi"/>
          <w:sz w:val="22"/>
          <w:szCs w:val="22"/>
        </w:rPr>
        <w:t xml:space="preserve"> assegura ao Poder Público local o dever de formular políticas públicas voltadas à </w:t>
      </w:r>
      <w:r w:rsidRPr="00530312">
        <w:rPr>
          <w:rFonts w:ascii="Cambria" w:hAnsi="Cambria" w:cstheme="minorHAnsi"/>
          <w:b/>
          <w:bCs/>
          <w:sz w:val="22"/>
          <w:szCs w:val="22"/>
        </w:rPr>
        <w:t>proteção social e à promoção da cidadania</w:t>
      </w:r>
      <w:r w:rsidRPr="00530312">
        <w:rPr>
          <w:rFonts w:ascii="Cambria" w:hAnsi="Cambria" w:cstheme="minorHAnsi"/>
          <w:sz w:val="22"/>
          <w:szCs w:val="22"/>
        </w:rPr>
        <w:t xml:space="preserve">, especialmente no que se refere à população idosa. O </w:t>
      </w:r>
      <w:r w:rsidRPr="00530312">
        <w:rPr>
          <w:rFonts w:ascii="Cambria" w:hAnsi="Cambria" w:cstheme="minorHAnsi"/>
          <w:b/>
          <w:bCs/>
          <w:sz w:val="22"/>
          <w:szCs w:val="22"/>
        </w:rPr>
        <w:t>art. 113, §2º</w:t>
      </w:r>
      <w:r w:rsidRPr="00530312">
        <w:rPr>
          <w:rFonts w:ascii="Cambria" w:hAnsi="Cambria" w:cstheme="minorHAnsi"/>
          <w:sz w:val="22"/>
          <w:szCs w:val="22"/>
        </w:rPr>
        <w:t xml:space="preserve">, estabelece que a assistência social será prestada à população, com especial atenção ao idoso, visando à correção de desequilíbrios sociais e ao desenvolvimento harmônico da coletividade. O </w:t>
      </w:r>
      <w:r w:rsidRPr="00530312">
        <w:rPr>
          <w:rFonts w:ascii="Cambria" w:hAnsi="Cambria" w:cstheme="minorHAnsi"/>
          <w:b/>
          <w:bCs/>
          <w:sz w:val="22"/>
          <w:szCs w:val="22"/>
        </w:rPr>
        <w:t>§3º do mesmo dispositivo</w:t>
      </w:r>
      <w:r w:rsidRPr="00530312">
        <w:rPr>
          <w:rFonts w:ascii="Cambria" w:hAnsi="Cambria" w:cstheme="minorHAnsi"/>
          <w:sz w:val="22"/>
          <w:szCs w:val="22"/>
        </w:rPr>
        <w:t xml:space="preserve"> determina expressamente que o Município assegure assistência ao idoso mediante projetos destinados a favorecer sua </w:t>
      </w:r>
      <w:r w:rsidRPr="00530312">
        <w:rPr>
          <w:rFonts w:ascii="Cambria" w:hAnsi="Cambria" w:cstheme="minorHAnsi"/>
          <w:b/>
          <w:bCs/>
          <w:sz w:val="22"/>
          <w:szCs w:val="22"/>
        </w:rPr>
        <w:t>integração, participação social e melhoria das condições de vida</w:t>
      </w:r>
      <w:r w:rsidRPr="00530312">
        <w:rPr>
          <w:rFonts w:ascii="Cambria" w:hAnsi="Cambria" w:cstheme="minorHAnsi"/>
          <w:sz w:val="22"/>
          <w:szCs w:val="22"/>
        </w:rPr>
        <w:t>.</w:t>
      </w:r>
    </w:p>
    <w:p w14:paraId="1EB88CA4" w14:textId="77777777" w:rsidR="00530312" w:rsidRPr="00530312" w:rsidRDefault="00530312" w:rsidP="00530312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A matéria encontra ainda respaldo no </w:t>
      </w:r>
      <w:r w:rsidRPr="00530312">
        <w:rPr>
          <w:rFonts w:ascii="Cambria" w:hAnsi="Cambria" w:cstheme="minorHAnsi"/>
          <w:b/>
          <w:bCs/>
          <w:sz w:val="22"/>
          <w:szCs w:val="22"/>
        </w:rPr>
        <w:t>art. 84 da Lei Orgânica Municipal</w:t>
      </w:r>
      <w:r w:rsidRPr="00530312">
        <w:rPr>
          <w:rFonts w:ascii="Cambria" w:hAnsi="Cambria" w:cstheme="minorHAnsi"/>
          <w:sz w:val="22"/>
          <w:szCs w:val="22"/>
        </w:rPr>
        <w:t xml:space="preserve">, que assegura a promoção da saúde como dever do Poder Público, compreendida como política social voltada ao </w:t>
      </w:r>
      <w:r w:rsidRPr="00530312">
        <w:rPr>
          <w:rFonts w:ascii="Cambria" w:hAnsi="Cambria" w:cstheme="minorHAnsi"/>
          <w:b/>
          <w:bCs/>
          <w:sz w:val="22"/>
          <w:szCs w:val="22"/>
        </w:rPr>
        <w:lastRenderedPageBreak/>
        <w:t>bem-estar físico, mental e social da população</w:t>
      </w:r>
      <w:r w:rsidRPr="00530312">
        <w:rPr>
          <w:rFonts w:ascii="Cambria" w:hAnsi="Cambria" w:cstheme="minorHAnsi"/>
          <w:sz w:val="22"/>
          <w:szCs w:val="22"/>
        </w:rPr>
        <w:t xml:space="preserve">. No mesmo sentido, o </w:t>
      </w:r>
      <w:r w:rsidRPr="00530312">
        <w:rPr>
          <w:rFonts w:ascii="Cambria" w:hAnsi="Cambria" w:cstheme="minorHAnsi"/>
          <w:b/>
          <w:bCs/>
          <w:sz w:val="22"/>
          <w:szCs w:val="22"/>
        </w:rPr>
        <w:t>art. 89, inciso I</w:t>
      </w:r>
      <w:r w:rsidRPr="00530312">
        <w:rPr>
          <w:rFonts w:ascii="Cambria" w:hAnsi="Cambria" w:cstheme="minorHAnsi"/>
          <w:sz w:val="22"/>
          <w:szCs w:val="22"/>
        </w:rPr>
        <w:t xml:space="preserve">, e o </w:t>
      </w:r>
      <w:r w:rsidRPr="00530312">
        <w:rPr>
          <w:rFonts w:ascii="Cambria" w:hAnsi="Cambria" w:cstheme="minorHAnsi"/>
          <w:b/>
          <w:bCs/>
          <w:sz w:val="22"/>
          <w:szCs w:val="22"/>
        </w:rPr>
        <w:t>art. 95, inciso X</w:t>
      </w:r>
      <w:r w:rsidRPr="00530312">
        <w:rPr>
          <w:rFonts w:ascii="Cambria" w:hAnsi="Cambria" w:cstheme="minorHAnsi"/>
          <w:sz w:val="22"/>
          <w:szCs w:val="22"/>
        </w:rPr>
        <w:t xml:space="preserve">, reforçam a </w:t>
      </w:r>
      <w:r w:rsidRPr="00530312">
        <w:rPr>
          <w:rFonts w:ascii="Cambria" w:hAnsi="Cambria" w:cstheme="minorHAnsi"/>
          <w:b/>
          <w:bCs/>
          <w:sz w:val="22"/>
          <w:szCs w:val="22"/>
        </w:rPr>
        <w:t>proteção prioritária da pessoa idosa</w:t>
      </w:r>
      <w:r w:rsidRPr="00530312">
        <w:rPr>
          <w:rFonts w:ascii="Cambria" w:hAnsi="Cambria" w:cstheme="minorHAnsi"/>
          <w:sz w:val="22"/>
          <w:szCs w:val="22"/>
        </w:rPr>
        <w:t xml:space="preserve"> nas ações preventivas e assistenciais promovidas pelo Município.</w:t>
      </w:r>
    </w:p>
    <w:p w14:paraId="28F8290D" w14:textId="77777777" w:rsidR="00530312" w:rsidRPr="00530312" w:rsidRDefault="00530312" w:rsidP="00530312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No plano infraconstitucional, as proposições mostram-se compatíveis com a </w:t>
      </w:r>
      <w:r w:rsidRPr="00530312">
        <w:rPr>
          <w:rFonts w:ascii="Cambria" w:hAnsi="Cambria" w:cstheme="minorHAnsi"/>
          <w:b/>
          <w:bCs/>
          <w:sz w:val="22"/>
          <w:szCs w:val="22"/>
        </w:rPr>
        <w:t>Lei Federal nº 8.842/1994</w:t>
      </w:r>
      <w:r w:rsidRPr="00530312">
        <w:rPr>
          <w:rFonts w:ascii="Cambria" w:hAnsi="Cambria" w:cstheme="minorHAnsi"/>
          <w:sz w:val="22"/>
          <w:szCs w:val="22"/>
        </w:rPr>
        <w:t xml:space="preserve">, que institui a </w:t>
      </w:r>
      <w:r w:rsidRPr="00530312">
        <w:rPr>
          <w:rFonts w:ascii="Cambria" w:hAnsi="Cambria" w:cstheme="minorHAnsi"/>
          <w:b/>
          <w:bCs/>
          <w:sz w:val="22"/>
          <w:szCs w:val="22"/>
        </w:rPr>
        <w:t>Política Nacional do Idoso</w:t>
      </w:r>
      <w:r w:rsidRPr="00530312">
        <w:rPr>
          <w:rFonts w:ascii="Cambria" w:hAnsi="Cambria" w:cstheme="minorHAnsi"/>
          <w:sz w:val="22"/>
          <w:szCs w:val="22"/>
        </w:rPr>
        <w:t xml:space="preserve">, especialmente quanto à promoção da </w:t>
      </w:r>
      <w:r w:rsidRPr="00530312">
        <w:rPr>
          <w:rFonts w:ascii="Cambria" w:hAnsi="Cambria" w:cstheme="minorHAnsi"/>
          <w:b/>
          <w:bCs/>
          <w:sz w:val="22"/>
          <w:szCs w:val="22"/>
        </w:rPr>
        <w:t>autonomia, integração e participação efetiva da pessoa idosa na sociedade</w:t>
      </w:r>
      <w:r w:rsidRPr="00530312">
        <w:rPr>
          <w:rFonts w:ascii="Cambria" w:hAnsi="Cambria" w:cstheme="minorHAnsi"/>
          <w:sz w:val="22"/>
          <w:szCs w:val="22"/>
        </w:rPr>
        <w:t xml:space="preserve">, bem como com a </w:t>
      </w:r>
      <w:r w:rsidRPr="00530312">
        <w:rPr>
          <w:rFonts w:ascii="Cambria" w:hAnsi="Cambria" w:cstheme="minorHAnsi"/>
          <w:b/>
          <w:bCs/>
          <w:sz w:val="22"/>
          <w:szCs w:val="22"/>
        </w:rPr>
        <w:t>Lei Federal nº 10.741/2003 (Estatuto da Pessoa Idosa)</w:t>
      </w:r>
      <w:r w:rsidRPr="00530312">
        <w:rPr>
          <w:rFonts w:ascii="Cambria" w:hAnsi="Cambria" w:cstheme="minorHAnsi"/>
          <w:sz w:val="22"/>
          <w:szCs w:val="22"/>
        </w:rPr>
        <w:t xml:space="preserve">, que assegura </w:t>
      </w:r>
      <w:r w:rsidRPr="00530312">
        <w:rPr>
          <w:rFonts w:ascii="Cambria" w:hAnsi="Cambria" w:cstheme="minorHAnsi"/>
          <w:b/>
          <w:bCs/>
          <w:sz w:val="22"/>
          <w:szCs w:val="22"/>
        </w:rPr>
        <w:t>proteção integral à dignidade, à cidadania, ao envelhecimento saudável e ao combate a toda forma de discriminação baseada na idade</w:t>
      </w:r>
      <w:r w:rsidRPr="00530312">
        <w:rPr>
          <w:rFonts w:ascii="Cambria" w:hAnsi="Cambria" w:cstheme="minorHAnsi"/>
          <w:sz w:val="22"/>
          <w:szCs w:val="22"/>
        </w:rPr>
        <w:t>.</w:t>
      </w:r>
    </w:p>
    <w:p w14:paraId="534B9769" w14:textId="77777777" w:rsidR="00530312" w:rsidRPr="00530312" w:rsidRDefault="00530312" w:rsidP="00530312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As matérias também se harmonizam com o </w:t>
      </w:r>
      <w:r w:rsidRPr="00530312">
        <w:rPr>
          <w:rFonts w:ascii="Cambria" w:hAnsi="Cambria" w:cstheme="minorHAnsi"/>
          <w:b/>
          <w:bCs/>
          <w:sz w:val="22"/>
          <w:szCs w:val="22"/>
        </w:rPr>
        <w:t>art. 230 da Constituição Federal</w:t>
      </w:r>
      <w:r w:rsidRPr="00530312">
        <w:rPr>
          <w:rFonts w:ascii="Cambria" w:hAnsi="Cambria" w:cstheme="minorHAnsi"/>
          <w:sz w:val="22"/>
          <w:szCs w:val="22"/>
        </w:rPr>
        <w:t xml:space="preserve">, segundo o qual é dever da família, da sociedade e do Estado </w:t>
      </w:r>
      <w:r w:rsidRPr="00530312">
        <w:rPr>
          <w:rFonts w:ascii="Cambria" w:hAnsi="Cambria" w:cstheme="minorHAnsi"/>
          <w:b/>
          <w:bCs/>
          <w:sz w:val="22"/>
          <w:szCs w:val="22"/>
        </w:rPr>
        <w:t>amparar as pessoas idosas, assegurando sua dignidade, bem-estar e participação na comunidade</w:t>
      </w:r>
      <w:r w:rsidRPr="00530312">
        <w:rPr>
          <w:rFonts w:ascii="Cambria" w:hAnsi="Cambria" w:cstheme="minorHAnsi"/>
          <w:sz w:val="22"/>
          <w:szCs w:val="22"/>
        </w:rPr>
        <w:t>.</w:t>
      </w:r>
    </w:p>
    <w:p w14:paraId="15FC801F" w14:textId="77777777" w:rsidR="00530312" w:rsidRPr="00530312" w:rsidRDefault="00530312" w:rsidP="00530312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Quanto à </w:t>
      </w:r>
      <w:r w:rsidRPr="00530312">
        <w:rPr>
          <w:rFonts w:ascii="Cambria" w:hAnsi="Cambria" w:cstheme="minorHAnsi"/>
          <w:b/>
          <w:bCs/>
          <w:sz w:val="22"/>
          <w:szCs w:val="22"/>
        </w:rPr>
        <w:t>iniciativa legislativa</w:t>
      </w:r>
      <w:r w:rsidRPr="00530312">
        <w:rPr>
          <w:rFonts w:ascii="Cambria" w:hAnsi="Cambria" w:cstheme="minorHAnsi"/>
          <w:sz w:val="22"/>
          <w:szCs w:val="22"/>
        </w:rPr>
        <w:t xml:space="preserve">, não se verifica vício formal de competência, uma vez que as proposições possuem </w:t>
      </w:r>
      <w:r w:rsidRPr="00530312">
        <w:rPr>
          <w:rFonts w:ascii="Cambria" w:hAnsi="Cambria" w:cstheme="minorHAnsi"/>
          <w:b/>
          <w:bCs/>
          <w:sz w:val="22"/>
          <w:szCs w:val="22"/>
        </w:rPr>
        <w:t>natureza autorizativa, orientadora e programática</w:t>
      </w:r>
      <w:r w:rsidRPr="00530312">
        <w:rPr>
          <w:rFonts w:ascii="Cambria" w:hAnsi="Cambria" w:cstheme="minorHAnsi"/>
          <w:sz w:val="22"/>
          <w:szCs w:val="22"/>
        </w:rPr>
        <w:t>, não criando cargos, funções, estrutura administrativa, obrigações orçamentárias compulsórias ou ingerência direta na organização interna da Administração Pública Municipal.</w:t>
      </w:r>
    </w:p>
    <w:p w14:paraId="12CBEB19" w14:textId="77777777" w:rsidR="00530312" w:rsidRPr="00530312" w:rsidRDefault="00530312" w:rsidP="00530312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Trata-se de diretrizes gerais de política pública, cuja execução concreta permanece submetida à </w:t>
      </w:r>
      <w:r w:rsidRPr="00530312">
        <w:rPr>
          <w:rFonts w:ascii="Cambria" w:hAnsi="Cambria" w:cstheme="minorHAnsi"/>
          <w:b/>
          <w:bCs/>
          <w:sz w:val="22"/>
          <w:szCs w:val="22"/>
        </w:rPr>
        <w:t>discricionariedade administrativa do Poder Executivo</w:t>
      </w:r>
      <w:r w:rsidRPr="00530312">
        <w:rPr>
          <w:rFonts w:ascii="Cambria" w:hAnsi="Cambria" w:cstheme="minorHAnsi"/>
          <w:sz w:val="22"/>
          <w:szCs w:val="22"/>
        </w:rPr>
        <w:t xml:space="preserve">, inexistindo violação ao </w:t>
      </w:r>
      <w:r w:rsidRPr="00530312">
        <w:rPr>
          <w:rFonts w:ascii="Cambria" w:hAnsi="Cambria" w:cstheme="minorHAnsi"/>
          <w:b/>
          <w:bCs/>
          <w:sz w:val="22"/>
          <w:szCs w:val="22"/>
        </w:rPr>
        <w:t>princípio da separação dos poderes</w:t>
      </w:r>
      <w:r w:rsidRPr="00530312">
        <w:rPr>
          <w:rFonts w:ascii="Cambria" w:hAnsi="Cambria" w:cstheme="minorHAnsi"/>
          <w:sz w:val="22"/>
          <w:szCs w:val="22"/>
        </w:rPr>
        <w:t>.</w:t>
      </w:r>
    </w:p>
    <w:p w14:paraId="3406DCA6" w14:textId="77777777" w:rsidR="00530312" w:rsidRPr="00530312" w:rsidRDefault="00530312" w:rsidP="00530312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A jurisprudência consolidada do </w:t>
      </w:r>
      <w:r w:rsidRPr="00530312">
        <w:rPr>
          <w:rFonts w:ascii="Cambria" w:hAnsi="Cambria" w:cstheme="minorHAnsi"/>
          <w:b/>
          <w:bCs/>
          <w:sz w:val="22"/>
          <w:szCs w:val="22"/>
        </w:rPr>
        <w:t>Supremo Tribunal Federal</w:t>
      </w:r>
      <w:r w:rsidRPr="00530312">
        <w:rPr>
          <w:rFonts w:ascii="Cambria" w:hAnsi="Cambria" w:cstheme="minorHAnsi"/>
          <w:sz w:val="22"/>
          <w:szCs w:val="22"/>
        </w:rPr>
        <w:t xml:space="preserve"> reconhece a constitucionalidade de leis de iniciativa parlamentar que instituem </w:t>
      </w:r>
      <w:r w:rsidRPr="00530312">
        <w:rPr>
          <w:rFonts w:ascii="Cambria" w:hAnsi="Cambria" w:cstheme="minorHAnsi"/>
          <w:b/>
          <w:bCs/>
          <w:sz w:val="22"/>
          <w:szCs w:val="22"/>
        </w:rPr>
        <w:t>programas e diretrizes públicas de caráter geral</w:t>
      </w:r>
      <w:r w:rsidRPr="00530312">
        <w:rPr>
          <w:rFonts w:ascii="Cambria" w:hAnsi="Cambria" w:cstheme="minorHAnsi"/>
          <w:sz w:val="22"/>
          <w:szCs w:val="22"/>
        </w:rPr>
        <w:t>, desde que não imponham reorganização administrativa nem criação obrigatória de despesa pública.</w:t>
      </w:r>
    </w:p>
    <w:p w14:paraId="064B997C" w14:textId="77777777" w:rsidR="00530312" w:rsidRPr="00530312" w:rsidRDefault="00530312" w:rsidP="00530312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lastRenderedPageBreak/>
        <w:t xml:space="preserve">No tocante à </w:t>
      </w:r>
      <w:r w:rsidRPr="00530312">
        <w:rPr>
          <w:rFonts w:ascii="Cambria" w:hAnsi="Cambria" w:cstheme="minorHAnsi"/>
          <w:b/>
          <w:bCs/>
          <w:sz w:val="22"/>
          <w:szCs w:val="22"/>
        </w:rPr>
        <w:t>técnica legislativa</w:t>
      </w:r>
      <w:r w:rsidRPr="00530312">
        <w:rPr>
          <w:rFonts w:ascii="Cambria" w:hAnsi="Cambria" w:cstheme="minorHAnsi"/>
          <w:sz w:val="22"/>
          <w:szCs w:val="22"/>
        </w:rPr>
        <w:t xml:space="preserve">, ambos os projetos observam as exigências da </w:t>
      </w:r>
      <w:r w:rsidRPr="00530312">
        <w:rPr>
          <w:rFonts w:ascii="Cambria" w:hAnsi="Cambria" w:cstheme="minorHAnsi"/>
          <w:b/>
          <w:bCs/>
          <w:sz w:val="22"/>
          <w:szCs w:val="22"/>
        </w:rPr>
        <w:t>Lei Complementar Federal nº 95/1998</w:t>
      </w:r>
      <w:r w:rsidRPr="00530312">
        <w:rPr>
          <w:rFonts w:ascii="Cambria" w:hAnsi="Cambria" w:cstheme="minorHAnsi"/>
          <w:sz w:val="22"/>
          <w:szCs w:val="22"/>
        </w:rPr>
        <w:t xml:space="preserve">, apresentando </w:t>
      </w:r>
      <w:r w:rsidRPr="00530312">
        <w:rPr>
          <w:rFonts w:ascii="Cambria" w:hAnsi="Cambria" w:cstheme="minorHAnsi"/>
          <w:b/>
          <w:bCs/>
          <w:sz w:val="22"/>
          <w:szCs w:val="22"/>
        </w:rPr>
        <w:t>redação clara, estrutura normativa adequada, coerência lógica e compatibilidade formal com o processo legislativo municipal</w:t>
      </w:r>
      <w:r w:rsidRPr="00530312">
        <w:rPr>
          <w:rFonts w:ascii="Cambria" w:hAnsi="Cambria" w:cstheme="minorHAnsi"/>
          <w:sz w:val="22"/>
          <w:szCs w:val="22"/>
        </w:rPr>
        <w:t>.</w:t>
      </w:r>
    </w:p>
    <w:p w14:paraId="1D4BE0F9" w14:textId="77777777" w:rsidR="00530312" w:rsidRPr="00530312" w:rsidRDefault="00530312" w:rsidP="00530312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Diante disso, </w:t>
      </w:r>
      <w:r w:rsidRPr="00530312">
        <w:rPr>
          <w:rFonts w:ascii="Cambria" w:hAnsi="Cambria" w:cstheme="minorHAnsi"/>
          <w:b/>
          <w:bCs/>
          <w:sz w:val="22"/>
          <w:szCs w:val="22"/>
        </w:rPr>
        <w:t>não se verificam impedimentos constitucionais, legais ou regimentais à regular tramitação e aprovação dos Projetos de Lei nº 024/2026 e nº 025/2026</w:t>
      </w:r>
      <w:r w:rsidRPr="00530312">
        <w:rPr>
          <w:rFonts w:ascii="Cambria" w:hAnsi="Cambria" w:cstheme="minorHAnsi"/>
          <w:sz w:val="22"/>
          <w:szCs w:val="22"/>
        </w:rPr>
        <w:t xml:space="preserve">, os quais se mostram </w:t>
      </w:r>
      <w:r w:rsidRPr="00530312">
        <w:rPr>
          <w:rFonts w:ascii="Cambria" w:hAnsi="Cambria" w:cstheme="minorHAnsi"/>
          <w:b/>
          <w:bCs/>
          <w:sz w:val="22"/>
          <w:szCs w:val="22"/>
        </w:rPr>
        <w:t>plenamente compatíveis com o ordenamento jurídico vigente e com os deveres institucionais do Município na promoção da dignidade humana, inclusão social e proteção integral da pessoa idosa</w:t>
      </w:r>
      <w:r w:rsidRPr="00530312">
        <w:rPr>
          <w:rFonts w:ascii="Cambria" w:hAnsi="Cambria" w:cstheme="minorHAnsi"/>
          <w:sz w:val="22"/>
          <w:szCs w:val="22"/>
        </w:rPr>
        <w:t>.</w:t>
      </w:r>
    </w:p>
    <w:p w14:paraId="1CBF4B4E" w14:textId="77777777" w:rsidR="00530312" w:rsidRPr="0010563D" w:rsidRDefault="00530312" w:rsidP="0010563D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</w:p>
    <w:p w14:paraId="603533A2" w14:textId="4F2EE4AC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III - ANÁLISE DE MÉRITO </w:t>
      </w:r>
    </w:p>
    <w:p w14:paraId="3474579E" w14:textId="77777777" w:rsidR="00530312" w:rsidRPr="00530312" w:rsidRDefault="00530312" w:rsidP="00530312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No mérito, os Projetos apresentam </w:t>
      </w:r>
      <w:r w:rsidRPr="00530312">
        <w:rPr>
          <w:rFonts w:ascii="Cambria" w:hAnsi="Cambria" w:cstheme="minorHAnsi"/>
          <w:b/>
          <w:bCs/>
          <w:sz w:val="22"/>
          <w:szCs w:val="22"/>
        </w:rPr>
        <w:t>relevante interesse público e elevado alcance social</w:t>
      </w:r>
      <w:r w:rsidRPr="00530312">
        <w:rPr>
          <w:rFonts w:ascii="Cambria" w:hAnsi="Cambria" w:cstheme="minorHAnsi"/>
          <w:sz w:val="22"/>
          <w:szCs w:val="22"/>
        </w:rPr>
        <w:t>.</w:t>
      </w:r>
    </w:p>
    <w:p w14:paraId="6E521280" w14:textId="77777777" w:rsidR="00530312" w:rsidRPr="00530312" w:rsidRDefault="00530312" w:rsidP="00530312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O </w:t>
      </w:r>
      <w:r w:rsidRPr="00530312">
        <w:rPr>
          <w:rFonts w:ascii="Cambria" w:hAnsi="Cambria" w:cstheme="minorHAnsi"/>
          <w:b/>
          <w:bCs/>
          <w:sz w:val="22"/>
          <w:szCs w:val="22"/>
        </w:rPr>
        <w:t>Projeto de Lei nº 024/2026</w:t>
      </w:r>
      <w:r w:rsidRPr="00530312">
        <w:rPr>
          <w:rFonts w:ascii="Cambria" w:hAnsi="Cambria" w:cstheme="minorHAnsi"/>
          <w:sz w:val="22"/>
          <w:szCs w:val="22"/>
        </w:rPr>
        <w:t xml:space="preserve"> revela-se oportuno ao instituir mecanismo permanente de combate ao </w:t>
      </w:r>
      <w:r w:rsidRPr="00530312">
        <w:rPr>
          <w:rFonts w:ascii="Cambria" w:hAnsi="Cambria" w:cstheme="minorHAnsi"/>
          <w:b/>
          <w:bCs/>
          <w:sz w:val="22"/>
          <w:szCs w:val="22"/>
        </w:rPr>
        <w:t>etarismo</w:t>
      </w:r>
      <w:r w:rsidRPr="00530312">
        <w:rPr>
          <w:rFonts w:ascii="Cambria" w:hAnsi="Cambria" w:cstheme="minorHAnsi"/>
          <w:sz w:val="22"/>
          <w:szCs w:val="22"/>
        </w:rPr>
        <w:t>, fenômeno discriminatório que compromete a inclusão social e a dignidade da pessoa idosa.</w:t>
      </w:r>
    </w:p>
    <w:p w14:paraId="5D9CAAFD" w14:textId="77777777" w:rsidR="00530312" w:rsidRPr="00530312" w:rsidRDefault="00530312" w:rsidP="00530312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A instituição de ações educativas, campanhas de conscientização e incentivo à convivência entre gerações contribui para a construção de uma sociedade </w:t>
      </w:r>
      <w:r w:rsidRPr="00530312">
        <w:rPr>
          <w:rFonts w:ascii="Cambria" w:hAnsi="Cambria" w:cstheme="minorHAnsi"/>
          <w:b/>
          <w:bCs/>
          <w:sz w:val="22"/>
          <w:szCs w:val="22"/>
        </w:rPr>
        <w:t>mais inclusiva, respeitosa e socialmente justa</w:t>
      </w:r>
      <w:r w:rsidRPr="00530312">
        <w:rPr>
          <w:rFonts w:ascii="Cambria" w:hAnsi="Cambria" w:cstheme="minorHAnsi"/>
          <w:sz w:val="22"/>
          <w:szCs w:val="22"/>
        </w:rPr>
        <w:t>.</w:t>
      </w:r>
    </w:p>
    <w:p w14:paraId="5E589ABA" w14:textId="77777777" w:rsidR="00530312" w:rsidRPr="00530312" w:rsidRDefault="00530312" w:rsidP="00530312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530312">
        <w:rPr>
          <w:rFonts w:ascii="Cambria" w:hAnsi="Cambria" w:cstheme="minorHAnsi"/>
          <w:sz w:val="22"/>
          <w:szCs w:val="22"/>
        </w:rPr>
        <w:t xml:space="preserve">O </w:t>
      </w:r>
      <w:r w:rsidRPr="00530312">
        <w:rPr>
          <w:rFonts w:ascii="Cambria" w:hAnsi="Cambria" w:cstheme="minorHAnsi"/>
          <w:b/>
          <w:bCs/>
          <w:sz w:val="22"/>
          <w:szCs w:val="22"/>
        </w:rPr>
        <w:t>Projeto de Lei nº 025/2026</w:t>
      </w:r>
      <w:r w:rsidRPr="00530312">
        <w:rPr>
          <w:rFonts w:ascii="Cambria" w:hAnsi="Cambria" w:cstheme="minorHAnsi"/>
          <w:sz w:val="22"/>
          <w:szCs w:val="22"/>
        </w:rPr>
        <w:t>, por sua vez, busca oferecer suporte ao processo de aposentadoria, etapa muitas vezes marcada por desafios emocionais, sociais e financeiros.</w:t>
      </w:r>
    </w:p>
    <w:p w14:paraId="2B4A48F2" w14:textId="01B613C8" w:rsidR="002F53D0" w:rsidRPr="002F53D0" w:rsidRDefault="0010563D" w:rsidP="002F53D0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Diante disso, verifica-se que </w:t>
      </w:r>
      <w:r w:rsidRPr="0010563D">
        <w:rPr>
          <w:rFonts w:ascii="Cambria" w:hAnsi="Cambria" w:cstheme="minorHAnsi"/>
          <w:b/>
          <w:bCs/>
          <w:sz w:val="22"/>
          <w:szCs w:val="22"/>
        </w:rPr>
        <w:t>ambas as proposições apresentam mérito e atendem ao interesse público</w:t>
      </w:r>
      <w:r w:rsidRPr="0010563D">
        <w:rPr>
          <w:rFonts w:ascii="Cambria" w:hAnsi="Cambria" w:cstheme="minorHAnsi"/>
          <w:sz w:val="22"/>
          <w:szCs w:val="22"/>
        </w:rPr>
        <w:t>, razão pela qual merecem prosperar.</w:t>
      </w:r>
    </w:p>
    <w:p w14:paraId="06DBE397" w14:textId="77777777" w:rsidR="00D0257B" w:rsidRPr="00BE310E" w:rsidRDefault="00D0257B" w:rsidP="00BE310E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6F82D173" w14:textId="34463DE5" w:rsidR="006F0098" w:rsidRPr="00107BD9" w:rsidRDefault="00847207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V –</w:t>
      </w:r>
      <w:r w:rsidR="00D8696E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DA</w:t>
      </w:r>
      <w:r w:rsidR="00170B83">
        <w:rPr>
          <w:rFonts w:ascii="Cambria" w:hAnsi="Cambria" w:cstheme="minorHAnsi"/>
          <w:b/>
          <w:bCs/>
          <w:sz w:val="22"/>
          <w:szCs w:val="22"/>
          <w:u w:val="single"/>
        </w:rPr>
        <w:t>S COMISSÕES PERMANENTES</w:t>
      </w:r>
    </w:p>
    <w:p w14:paraId="70C3D323" w14:textId="629324E9" w:rsidR="002F53D0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BE310E">
        <w:rPr>
          <w:rFonts w:ascii="Cambria" w:hAnsi="Cambria" w:cstheme="minorHAnsi"/>
          <w:sz w:val="22"/>
          <w:szCs w:val="22"/>
        </w:rPr>
        <w:lastRenderedPageBreak/>
        <w:t xml:space="preserve">A Comissão de Constituição, Justiça e Redação Final, composta pelos Vereadores(as) Bárbara de Medeiros Dantas (Presidente), José Gilvan Dantas (Relator) e Maria das Vitórias Bezerra Dantas (Secretária), </w:t>
      </w:r>
      <w:r w:rsidR="002F53D0" w:rsidRPr="002F53D0">
        <w:rPr>
          <w:rFonts w:ascii="Cambria" w:hAnsi="Cambria" w:cstheme="minorHAnsi"/>
          <w:sz w:val="22"/>
          <w:szCs w:val="22"/>
        </w:rPr>
        <w:t>analisou o</w:t>
      </w:r>
      <w:r w:rsidR="0010563D">
        <w:rPr>
          <w:rFonts w:ascii="Cambria" w:hAnsi="Cambria" w:cstheme="minorHAnsi"/>
          <w:sz w:val="22"/>
          <w:szCs w:val="22"/>
        </w:rPr>
        <w:t>s</w:t>
      </w:r>
      <w:r w:rsidR="002F53D0" w:rsidRPr="002F53D0">
        <w:rPr>
          <w:rFonts w:ascii="Cambria" w:hAnsi="Cambria" w:cstheme="minorHAnsi"/>
          <w:sz w:val="22"/>
          <w:szCs w:val="22"/>
        </w:rPr>
        <w:t xml:space="preserve"> </w:t>
      </w:r>
      <w:r w:rsidR="00530312" w:rsidRPr="00530312">
        <w:rPr>
          <w:rFonts w:ascii="Cambria" w:hAnsi="Cambria" w:cstheme="minorHAnsi"/>
          <w:b/>
          <w:bCs/>
          <w:sz w:val="22"/>
          <w:szCs w:val="22"/>
        </w:rPr>
        <w:t>Projetos de Lei nº 024/2026 e nº 025/2026</w:t>
      </w:r>
      <w:r w:rsidR="002F53D0" w:rsidRPr="002F53D0">
        <w:rPr>
          <w:rFonts w:ascii="Cambria" w:hAnsi="Cambria" w:cstheme="minorHAnsi"/>
          <w:sz w:val="22"/>
          <w:szCs w:val="22"/>
        </w:rPr>
        <w:t xml:space="preserve">, de autoria do Vereador </w:t>
      </w:r>
      <w:proofErr w:type="spellStart"/>
      <w:r w:rsidR="0010563D" w:rsidRPr="0010563D">
        <w:rPr>
          <w:rFonts w:ascii="Cambria" w:hAnsi="Cambria" w:cstheme="minorHAnsi"/>
          <w:sz w:val="22"/>
          <w:szCs w:val="22"/>
        </w:rPr>
        <w:t>Jemmifran</w:t>
      </w:r>
      <w:proofErr w:type="spellEnd"/>
      <w:r w:rsidR="0010563D" w:rsidRPr="0010563D">
        <w:rPr>
          <w:rFonts w:ascii="Cambria" w:hAnsi="Cambria" w:cstheme="minorHAnsi"/>
          <w:sz w:val="22"/>
          <w:szCs w:val="22"/>
        </w:rPr>
        <w:t xml:space="preserve"> da Silva Dantas</w:t>
      </w:r>
      <w:r w:rsidR="0010563D">
        <w:rPr>
          <w:rFonts w:ascii="Cambria" w:hAnsi="Cambria" w:cstheme="minorHAnsi"/>
          <w:sz w:val="22"/>
          <w:szCs w:val="22"/>
        </w:rPr>
        <w:t>.</w:t>
      </w:r>
    </w:p>
    <w:p w14:paraId="7EC380BA" w14:textId="40E88D14" w:rsidR="00107BD9" w:rsidRDefault="00D0257B" w:rsidP="0010563D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D0257B">
        <w:rPr>
          <w:rFonts w:ascii="Cambria" w:hAnsi="Cambria" w:cstheme="minorHAnsi"/>
          <w:sz w:val="22"/>
          <w:szCs w:val="22"/>
        </w:rPr>
        <w:t xml:space="preserve">A análise foi realizada sob os aspectos da constitucionalidade, legalidade e técnica legislativa das matérias. Diante disso, o Relator da Comissão emite parecer favorável à tramitação e </w:t>
      </w:r>
      <w:r w:rsidRPr="0010563D">
        <w:rPr>
          <w:rFonts w:ascii="Cambria" w:hAnsi="Cambria" w:cstheme="minorHAnsi"/>
          <w:sz w:val="22"/>
          <w:szCs w:val="22"/>
        </w:rPr>
        <w:t xml:space="preserve">aprovação </w:t>
      </w:r>
      <w:r w:rsidR="0010563D" w:rsidRPr="0010563D">
        <w:rPr>
          <w:rFonts w:ascii="Cambria" w:hAnsi="Cambria" w:cstheme="minorHAnsi"/>
          <w:sz w:val="22"/>
          <w:szCs w:val="22"/>
        </w:rPr>
        <w:t>dos referidos projetos.</w:t>
      </w:r>
    </w:p>
    <w:p w14:paraId="25FFED3B" w14:textId="77777777" w:rsidR="0010563D" w:rsidRPr="00107BD9" w:rsidRDefault="0010563D" w:rsidP="0010563D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0FB8D5A3" w14:textId="663CAAE0" w:rsidR="0010563D" w:rsidRDefault="000662EA" w:rsidP="0010563D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10563D">
        <w:rPr>
          <w:rFonts w:ascii="Cambria" w:hAnsi="Cambria" w:cstheme="minorHAnsi"/>
          <w:sz w:val="22"/>
          <w:szCs w:val="22"/>
        </w:rPr>
        <w:t>19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 w:rsidR="0010563D">
        <w:rPr>
          <w:rFonts w:ascii="Cambria" w:hAnsi="Cambria" w:cstheme="minorHAnsi"/>
          <w:sz w:val="22"/>
          <w:szCs w:val="22"/>
        </w:rPr>
        <w:t>maio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8612B"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5F4AAE05" w14:textId="77777777" w:rsidR="00530312" w:rsidRPr="00107BD9" w:rsidRDefault="00530312" w:rsidP="0010563D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1804952D" w14:textId="1530B847" w:rsidR="000662EA" w:rsidRPr="00107BD9" w:rsidRDefault="000662EA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  <w:r w:rsidR="00073118">
        <w:rPr>
          <w:rFonts w:ascii="Cambria" w:hAnsi="Cambria" w:cstheme="minorHAnsi"/>
          <w:sz w:val="22"/>
          <w:szCs w:val="22"/>
        </w:rPr>
        <w:t>___</w:t>
      </w:r>
    </w:p>
    <w:p w14:paraId="5ED147C6" w14:textId="7B37EF9E" w:rsidR="000E4977" w:rsidRPr="00107BD9" w:rsidRDefault="00C45158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JOSÉ GILVAN DANTAS</w:t>
      </w:r>
    </w:p>
    <w:p w14:paraId="73C11013" w14:textId="2BF0755D" w:rsidR="00DB249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 da Comissão de</w:t>
      </w:r>
    </w:p>
    <w:p w14:paraId="619A313D" w14:textId="54BAD02C" w:rsidR="000662E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Constituição</w:t>
      </w:r>
      <w:r w:rsidR="00C45158" w:rsidRPr="00107BD9">
        <w:rPr>
          <w:rFonts w:ascii="Cambria" w:hAnsi="Cambria" w:cstheme="minorHAnsi"/>
          <w:sz w:val="22"/>
          <w:szCs w:val="22"/>
        </w:rPr>
        <w:t>, Justiça e Redação Fina</w:t>
      </w:r>
      <w:r w:rsidR="00FD37DC" w:rsidRPr="00107BD9">
        <w:rPr>
          <w:rFonts w:ascii="Cambria" w:hAnsi="Cambria" w:cstheme="minorHAnsi"/>
          <w:sz w:val="22"/>
          <w:szCs w:val="22"/>
        </w:rPr>
        <w:t>l</w:t>
      </w:r>
    </w:p>
    <w:p w14:paraId="24131033" w14:textId="77777777" w:rsidR="005353CC" w:rsidRDefault="005353CC" w:rsidP="00107BD9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426A039E" w14:textId="77777777" w:rsidR="003B7C64" w:rsidRPr="00107BD9" w:rsidRDefault="003B7C64" w:rsidP="0064570D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E1B19AC" w14:textId="60DBA06E" w:rsidR="00DB249A" w:rsidRPr="00107BD9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APROVAÇÃO DOS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DEMAIS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MEMBROS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</w:p>
    <w:p w14:paraId="735FDFD4" w14:textId="77777777" w:rsidR="000662EA" w:rsidRPr="00107BD9" w:rsidRDefault="000662EA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ABC83BD" w14:textId="7DE220F9" w:rsidR="00FD37DC" w:rsidRDefault="00170B83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 xml:space="preserve">Em consonância com as leis vigentes, manifestam-se as três Comissões Permanentes, por maioria dos votos, </w:t>
      </w:r>
      <w:r w:rsidR="00073118" w:rsidRPr="00073118">
        <w:rPr>
          <w:rFonts w:ascii="Cambria" w:hAnsi="Cambria" w:cstheme="minorHAnsi"/>
          <w:b/>
          <w:bCs/>
          <w:sz w:val="22"/>
          <w:szCs w:val="22"/>
        </w:rPr>
        <w:t xml:space="preserve">PELA APROVAÇÃO </w:t>
      </w:r>
      <w:r w:rsidR="00530312" w:rsidRPr="00530312">
        <w:rPr>
          <w:rFonts w:ascii="Cambria" w:hAnsi="Cambria" w:cstheme="minorHAnsi"/>
          <w:b/>
          <w:bCs/>
          <w:sz w:val="22"/>
          <w:szCs w:val="22"/>
        </w:rPr>
        <w:t>Projetos de Lei nº 024/2026 e nº 025/2026</w:t>
      </w:r>
      <w:r w:rsidR="002F53D0" w:rsidRPr="002F53D0">
        <w:rPr>
          <w:rFonts w:ascii="Cambria" w:hAnsi="Cambria" w:cstheme="minorHAnsi"/>
          <w:b/>
          <w:bCs/>
          <w:sz w:val="22"/>
          <w:szCs w:val="22"/>
        </w:rPr>
        <w:t>.</w:t>
      </w:r>
      <w:r w:rsidRPr="00170B83">
        <w:rPr>
          <w:rFonts w:ascii="Cambria" w:hAnsi="Cambria" w:cstheme="minorHAnsi"/>
          <w:sz w:val="22"/>
          <w:szCs w:val="22"/>
        </w:rPr>
        <w:t>, acompanhando integralmente o parecer do Relator.</w:t>
      </w:r>
    </w:p>
    <w:p w14:paraId="319615AA" w14:textId="77777777" w:rsidR="00BE310E" w:rsidRPr="00107BD9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71B5FAF7" w14:textId="59BAA85E" w:rsidR="00D0257B" w:rsidRDefault="00170B83" w:rsidP="00D0257B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10563D">
        <w:rPr>
          <w:rFonts w:ascii="Cambria" w:hAnsi="Cambria" w:cstheme="minorHAnsi"/>
          <w:sz w:val="22"/>
          <w:szCs w:val="22"/>
        </w:rPr>
        <w:t>19</w:t>
      </w:r>
      <w:r w:rsidR="00D0257B" w:rsidRPr="00107BD9">
        <w:rPr>
          <w:rFonts w:ascii="Cambria" w:hAnsi="Cambria" w:cstheme="minorHAnsi"/>
          <w:sz w:val="22"/>
          <w:szCs w:val="22"/>
        </w:rPr>
        <w:t xml:space="preserve"> de </w:t>
      </w:r>
      <w:r w:rsidR="0010563D">
        <w:rPr>
          <w:rFonts w:ascii="Cambria" w:hAnsi="Cambria" w:cstheme="minorHAnsi"/>
          <w:sz w:val="22"/>
          <w:szCs w:val="22"/>
        </w:rPr>
        <w:t>maio</w:t>
      </w:r>
      <w:r w:rsidR="00D0257B"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0257B">
        <w:rPr>
          <w:rFonts w:ascii="Cambria" w:hAnsi="Cambria" w:cstheme="minorHAnsi"/>
          <w:sz w:val="22"/>
          <w:szCs w:val="22"/>
        </w:rPr>
        <w:t>6</w:t>
      </w:r>
      <w:r w:rsidR="00D0257B" w:rsidRPr="00107BD9">
        <w:rPr>
          <w:rFonts w:ascii="Cambria" w:hAnsi="Cambria" w:cstheme="minorHAnsi"/>
          <w:sz w:val="22"/>
          <w:szCs w:val="22"/>
        </w:rPr>
        <w:t>.</w:t>
      </w:r>
    </w:p>
    <w:p w14:paraId="780BF8AA" w14:textId="77777777" w:rsidR="00170B83" w:rsidRDefault="00170B83" w:rsidP="00530312">
      <w:pPr>
        <w:rPr>
          <w:rFonts w:ascii="Cambria" w:hAnsi="Cambria" w:cstheme="minorHAnsi"/>
          <w:sz w:val="22"/>
          <w:szCs w:val="22"/>
        </w:rPr>
      </w:pPr>
    </w:p>
    <w:p w14:paraId="5C95CE11" w14:textId="330F2DA5" w:rsidR="0064570D" w:rsidRPr="00107BD9" w:rsidRDefault="0064570D" w:rsidP="0064570D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__________</w:t>
      </w: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</w:p>
    <w:p w14:paraId="7A0F53D7" w14:textId="77777777" w:rsidR="0064570D" w:rsidRPr="00107BD9" w:rsidRDefault="0064570D" w:rsidP="0064570D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BÁRBARA DE MEDEIROS DANTAS</w:t>
      </w:r>
    </w:p>
    <w:p w14:paraId="5F742828" w14:textId="2AFF0773" w:rsidR="0064570D" w:rsidRDefault="0064570D" w:rsidP="0064570D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Presidente</w:t>
      </w:r>
      <w:r w:rsidRPr="00170B83">
        <w:rPr>
          <w:rFonts w:ascii="Cambria" w:hAnsi="Cambria" w:cstheme="minorHAnsi"/>
          <w:sz w:val="22"/>
          <w:szCs w:val="22"/>
        </w:rPr>
        <w:t xml:space="preserve"> da Comissão de </w:t>
      </w:r>
    </w:p>
    <w:p w14:paraId="0635714F" w14:textId="77777777" w:rsidR="0064570D" w:rsidRPr="00073118" w:rsidRDefault="0064570D" w:rsidP="0064570D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6B9A73DA" w14:textId="77777777" w:rsidR="0064570D" w:rsidRDefault="0064570D" w:rsidP="0064570D">
      <w:pPr>
        <w:rPr>
          <w:rFonts w:ascii="Cambria" w:hAnsi="Cambria" w:cstheme="minorHAnsi"/>
          <w:sz w:val="22"/>
          <w:szCs w:val="22"/>
        </w:rPr>
      </w:pPr>
    </w:p>
    <w:p w14:paraId="0ED6AC1F" w14:textId="77777777" w:rsidR="0064570D" w:rsidRDefault="0064570D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9FDF075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4AC550C" w14:textId="083F1B6E" w:rsidR="00654CA7" w:rsidRPr="00107BD9" w:rsidRDefault="00FD6CE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</w:t>
      </w:r>
      <w:r w:rsidR="00654CA7" w:rsidRPr="00107BD9">
        <w:rPr>
          <w:rFonts w:ascii="Cambria" w:hAnsi="Cambria" w:cstheme="minorHAnsi"/>
          <w:sz w:val="22"/>
          <w:szCs w:val="22"/>
        </w:rPr>
        <w:t>_____________________________</w:t>
      </w:r>
    </w:p>
    <w:p w14:paraId="08E16A5C" w14:textId="77777777" w:rsidR="00073118" w:rsidRDefault="00FD6CE1" w:rsidP="00073118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MARIA DAS VITÓRIAS BEZERRA DANTAS</w:t>
      </w:r>
      <w:r w:rsidR="00170B83" w:rsidRPr="00170B83">
        <w:rPr>
          <w:rFonts w:ascii="Cambria" w:hAnsi="Cambria" w:cstheme="minorHAnsi"/>
          <w:sz w:val="22"/>
          <w:szCs w:val="22"/>
        </w:rPr>
        <w:br/>
        <w:t xml:space="preserve">Secretária da Comissão de </w:t>
      </w:r>
    </w:p>
    <w:p w14:paraId="5053517A" w14:textId="759C5122" w:rsidR="005353CC" w:rsidRPr="00073118" w:rsidRDefault="00170B83" w:rsidP="00073118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1977949E" w14:textId="77777777" w:rsidR="005353CC" w:rsidRDefault="005353CC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2803D0D4" w14:textId="77777777" w:rsidR="00170B83" w:rsidRPr="00107BD9" w:rsidRDefault="00170B83" w:rsidP="0064570D">
      <w:pPr>
        <w:rPr>
          <w:rFonts w:ascii="Cambria" w:hAnsi="Cambria" w:cstheme="minorHAnsi"/>
          <w:sz w:val="22"/>
          <w:szCs w:val="22"/>
        </w:rPr>
      </w:pPr>
    </w:p>
    <w:p w14:paraId="6A11F727" w14:textId="77777777" w:rsidR="00E54691" w:rsidRPr="00107BD9" w:rsidRDefault="00E54691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0AA26ECF" w14:textId="3CC311B6" w:rsidR="001140E4" w:rsidRPr="00107BD9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V - </w:t>
      </w:r>
      <w:r w:rsidR="00CE2B78" w:rsidRPr="00107BD9">
        <w:rPr>
          <w:rFonts w:ascii="Cambria" w:hAnsi="Cambria" w:cstheme="minorHAnsi"/>
          <w:b/>
          <w:sz w:val="22"/>
          <w:szCs w:val="22"/>
          <w:u w:val="single"/>
        </w:rPr>
        <w:t>CONSIDERAÇÕES</w:t>
      </w:r>
      <w:r w:rsidR="001140E4"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 FINAIS </w:t>
      </w:r>
    </w:p>
    <w:p w14:paraId="442CAB78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Nos termos do </w:t>
      </w:r>
      <w:r w:rsidRPr="00073118">
        <w:rPr>
          <w:rFonts w:ascii="Cambria" w:hAnsi="Cambria" w:cstheme="minorHAnsi"/>
          <w:b/>
          <w:sz w:val="22"/>
          <w:szCs w:val="22"/>
        </w:rPr>
        <w:t>artigo 63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Cumpre esclarecer que, </w:t>
      </w:r>
      <w:r w:rsidRPr="00107BD9">
        <w:rPr>
          <w:rFonts w:ascii="Cambria" w:hAnsi="Cambria" w:cstheme="minorHAnsi"/>
          <w:b/>
          <w:sz w:val="22"/>
          <w:szCs w:val="22"/>
        </w:rPr>
        <w:t>conforme o parágrafo único do referido artigo</w:t>
      </w:r>
      <w:r w:rsidRPr="00107BD9">
        <w:rPr>
          <w:rFonts w:ascii="Cambria" w:hAnsi="Cambria" w:cstheme="minorHAnsi"/>
          <w:bCs/>
          <w:sz w:val="22"/>
          <w:szCs w:val="22"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</w:p>
    <w:p w14:paraId="67735615" w14:textId="4E438AFA" w:rsidR="007E136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Assim, o presente parecer atende integralmente aos requisitos legais e regimentais, contando com a participação técnica da Procuradora Jurídica para assegurar sua conformidade e validade.</w:t>
      </w:r>
    </w:p>
    <w:p w14:paraId="52CC9EEE" w14:textId="77777777" w:rsidR="00E54691" w:rsidRPr="00107BD9" w:rsidRDefault="00E54691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</w:p>
    <w:p w14:paraId="5073CCD1" w14:textId="2439C210" w:rsidR="00D0257B" w:rsidRDefault="004E37C2" w:rsidP="00D0257B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10563D">
        <w:rPr>
          <w:rFonts w:ascii="Cambria" w:hAnsi="Cambria" w:cstheme="minorHAnsi"/>
          <w:sz w:val="22"/>
          <w:szCs w:val="22"/>
        </w:rPr>
        <w:t>19</w:t>
      </w:r>
      <w:r w:rsidR="00D0257B" w:rsidRPr="00107BD9">
        <w:rPr>
          <w:rFonts w:ascii="Cambria" w:hAnsi="Cambria" w:cstheme="minorHAnsi"/>
          <w:sz w:val="22"/>
          <w:szCs w:val="22"/>
        </w:rPr>
        <w:t xml:space="preserve"> de </w:t>
      </w:r>
      <w:r w:rsidR="0010563D">
        <w:rPr>
          <w:rFonts w:ascii="Cambria" w:hAnsi="Cambria" w:cstheme="minorHAnsi"/>
          <w:sz w:val="22"/>
          <w:szCs w:val="22"/>
        </w:rPr>
        <w:t>maio</w:t>
      </w:r>
      <w:r w:rsidR="00D0257B"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0257B">
        <w:rPr>
          <w:rFonts w:ascii="Cambria" w:hAnsi="Cambria" w:cstheme="minorHAnsi"/>
          <w:sz w:val="22"/>
          <w:szCs w:val="22"/>
        </w:rPr>
        <w:t>6</w:t>
      </w:r>
      <w:r w:rsidR="00D0257B" w:rsidRPr="00107BD9">
        <w:rPr>
          <w:rFonts w:ascii="Cambria" w:hAnsi="Cambria" w:cstheme="minorHAnsi"/>
          <w:sz w:val="22"/>
          <w:szCs w:val="22"/>
        </w:rPr>
        <w:t>.</w:t>
      </w:r>
    </w:p>
    <w:p w14:paraId="520A7E38" w14:textId="77777777" w:rsidR="00073118" w:rsidRPr="00107BD9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2"/>
          <w:szCs w:val="22"/>
        </w:rPr>
      </w:pPr>
    </w:p>
    <w:p w14:paraId="637E615C" w14:textId="17EB2011" w:rsidR="00CF6689" w:rsidRPr="00107BD9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__________________________________________________________</w:t>
      </w:r>
    </w:p>
    <w:p w14:paraId="15DDC92F" w14:textId="42878176" w:rsidR="00E70C84" w:rsidRPr="00107BD9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2"/>
          <w:szCs w:val="22"/>
        </w:rPr>
      </w:pPr>
      <w:r w:rsidRPr="00107BD9">
        <w:rPr>
          <w:rFonts w:ascii="Cambria" w:hAnsi="Cambria" w:cstheme="minorHAnsi"/>
          <w:b/>
          <w:sz w:val="22"/>
          <w:szCs w:val="22"/>
        </w:rPr>
        <w:t>JANIARYA LOURENA DE AZEVEDO DANTAS</w:t>
      </w:r>
    </w:p>
    <w:p w14:paraId="3D3C5A82" w14:textId="6856E6B6" w:rsidR="00FA5355" w:rsidRPr="00107BD9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Procuradora Jurídica </w:t>
      </w:r>
      <w:r w:rsidR="00CF6689" w:rsidRPr="00107BD9">
        <w:rPr>
          <w:rFonts w:ascii="Cambria" w:hAnsi="Cambria" w:cstheme="minorHAnsi"/>
          <w:bCs/>
          <w:sz w:val="22"/>
          <w:szCs w:val="22"/>
        </w:rPr>
        <w:t xml:space="preserve">- </w:t>
      </w:r>
      <w:r w:rsidR="00F50D08" w:rsidRPr="00107BD9">
        <w:rPr>
          <w:rFonts w:ascii="Cambria" w:hAnsi="Cambria" w:cstheme="minorHAnsi"/>
          <w:bCs/>
          <w:sz w:val="22"/>
          <w:szCs w:val="22"/>
        </w:rPr>
        <w:t xml:space="preserve">Portaria </w:t>
      </w:r>
      <w:r w:rsidR="0023663C" w:rsidRPr="00107BD9">
        <w:rPr>
          <w:rFonts w:ascii="Cambria" w:hAnsi="Cambria" w:cstheme="minorHAnsi"/>
          <w:bCs/>
          <w:sz w:val="22"/>
          <w:szCs w:val="22"/>
        </w:rPr>
        <w:t>nº 0</w:t>
      </w:r>
      <w:r w:rsidR="00073118">
        <w:rPr>
          <w:rFonts w:ascii="Cambria" w:hAnsi="Cambria" w:cstheme="minorHAnsi"/>
          <w:bCs/>
          <w:sz w:val="22"/>
          <w:szCs w:val="22"/>
        </w:rPr>
        <w:t>0</w:t>
      </w:r>
      <w:r w:rsidR="0064570D">
        <w:rPr>
          <w:rFonts w:ascii="Cambria" w:hAnsi="Cambria" w:cstheme="minorHAnsi"/>
          <w:bCs/>
          <w:sz w:val="22"/>
          <w:szCs w:val="22"/>
        </w:rPr>
        <w:t>7</w:t>
      </w:r>
      <w:r w:rsidR="0023663C" w:rsidRPr="00107BD9">
        <w:rPr>
          <w:rFonts w:ascii="Cambria" w:hAnsi="Cambria" w:cstheme="minorHAnsi"/>
          <w:bCs/>
          <w:sz w:val="22"/>
          <w:szCs w:val="22"/>
        </w:rPr>
        <w:t>/202</w:t>
      </w:r>
      <w:r w:rsidR="00073118">
        <w:rPr>
          <w:rFonts w:ascii="Cambria" w:hAnsi="Cambria" w:cstheme="minorHAnsi"/>
          <w:bCs/>
          <w:sz w:val="22"/>
          <w:szCs w:val="22"/>
        </w:rPr>
        <w:t>6</w:t>
      </w:r>
      <w:r w:rsidR="00625F1B" w:rsidRPr="00107BD9">
        <w:rPr>
          <w:rFonts w:ascii="Cambria" w:hAnsi="Cambria" w:cstheme="minorHAnsi"/>
          <w:bCs/>
          <w:sz w:val="22"/>
          <w:szCs w:val="22"/>
        </w:rPr>
        <w:br/>
        <w:t>Advogada OAB/RN 19025</w:t>
      </w:r>
    </w:p>
    <w:sectPr w:rsidR="00FA5355" w:rsidRPr="00107BD9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8CAB1" w14:textId="77777777" w:rsidR="0074676B" w:rsidRDefault="0074676B">
      <w:pPr>
        <w:rPr>
          <w:rFonts w:hint="eastAsia"/>
        </w:rPr>
      </w:pPr>
      <w:r>
        <w:separator/>
      </w:r>
    </w:p>
  </w:endnote>
  <w:endnote w:type="continuationSeparator" w:id="0">
    <w:p w14:paraId="1CE18C6E" w14:textId="77777777" w:rsidR="0074676B" w:rsidRDefault="0074676B">
      <w:pPr>
        <w:rPr>
          <w:rFonts w:hint="eastAsia"/>
        </w:rPr>
      </w:pPr>
      <w:r>
        <w:continuationSeparator/>
      </w:r>
    </w:p>
  </w:endnote>
  <w:endnote w:type="continuationNotice" w:id="1">
    <w:p w14:paraId="6F021AE9" w14:textId="77777777" w:rsidR="0074676B" w:rsidRDefault="0074676B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5E71C" w14:textId="77777777" w:rsidR="0074676B" w:rsidRDefault="0074676B">
      <w:pPr>
        <w:rPr>
          <w:rFonts w:hint="eastAsia"/>
        </w:rPr>
      </w:pPr>
      <w:r>
        <w:separator/>
      </w:r>
    </w:p>
  </w:footnote>
  <w:footnote w:type="continuationSeparator" w:id="0">
    <w:p w14:paraId="61D26984" w14:textId="77777777" w:rsidR="0074676B" w:rsidRDefault="0074676B">
      <w:pPr>
        <w:rPr>
          <w:rFonts w:hint="eastAsia"/>
        </w:rPr>
      </w:pPr>
      <w:r>
        <w:continuationSeparator/>
      </w:r>
    </w:p>
  </w:footnote>
  <w:footnote w:type="continuationNotice" w:id="1">
    <w:p w14:paraId="4D964989" w14:textId="77777777" w:rsidR="0074676B" w:rsidRDefault="0074676B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  <w:num w:numId="4" w16cid:durableId="22637600">
    <w:abstractNumId w:val="4"/>
  </w:num>
  <w:num w:numId="5" w16cid:durableId="701705847">
    <w:abstractNumId w:val="3"/>
  </w:num>
  <w:num w:numId="6" w16cid:durableId="772820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C4720"/>
    <w:rsid w:val="000D1308"/>
    <w:rsid w:val="000D3EC0"/>
    <w:rsid w:val="000E1D8D"/>
    <w:rsid w:val="000E4977"/>
    <w:rsid w:val="000F361E"/>
    <w:rsid w:val="0010563D"/>
    <w:rsid w:val="00107BD9"/>
    <w:rsid w:val="001140E4"/>
    <w:rsid w:val="001378E4"/>
    <w:rsid w:val="001440EB"/>
    <w:rsid w:val="00167D6C"/>
    <w:rsid w:val="00170B83"/>
    <w:rsid w:val="001829C3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C05D4"/>
    <w:rsid w:val="002C66A9"/>
    <w:rsid w:val="002C7C82"/>
    <w:rsid w:val="002E625C"/>
    <w:rsid w:val="002E7833"/>
    <w:rsid w:val="002F2844"/>
    <w:rsid w:val="002F53D0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D38A5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E0A38"/>
    <w:rsid w:val="004E25C3"/>
    <w:rsid w:val="004E37C2"/>
    <w:rsid w:val="005102C6"/>
    <w:rsid w:val="00510E0E"/>
    <w:rsid w:val="00512AAD"/>
    <w:rsid w:val="00530312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53724"/>
    <w:rsid w:val="00654CA7"/>
    <w:rsid w:val="00662EB7"/>
    <w:rsid w:val="00664DE8"/>
    <w:rsid w:val="00672FBB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4676B"/>
    <w:rsid w:val="007517B8"/>
    <w:rsid w:val="007652EC"/>
    <w:rsid w:val="00771FDF"/>
    <w:rsid w:val="007846DC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7207"/>
    <w:rsid w:val="008508AA"/>
    <w:rsid w:val="00861191"/>
    <w:rsid w:val="00861C94"/>
    <w:rsid w:val="00864FEB"/>
    <w:rsid w:val="00867CC1"/>
    <w:rsid w:val="00871FD3"/>
    <w:rsid w:val="00881726"/>
    <w:rsid w:val="008C48A9"/>
    <w:rsid w:val="008C61A3"/>
    <w:rsid w:val="008C6B78"/>
    <w:rsid w:val="008E0AA4"/>
    <w:rsid w:val="008E1F7A"/>
    <w:rsid w:val="008F3CEA"/>
    <w:rsid w:val="00900334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837D9"/>
    <w:rsid w:val="00A91F23"/>
    <w:rsid w:val="00A94688"/>
    <w:rsid w:val="00AC52A9"/>
    <w:rsid w:val="00AC61C5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10E"/>
    <w:rsid w:val="00BE3A89"/>
    <w:rsid w:val="00BF0FD0"/>
    <w:rsid w:val="00BF186E"/>
    <w:rsid w:val="00C019E0"/>
    <w:rsid w:val="00C055ED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A11D9"/>
    <w:rsid w:val="00CB505C"/>
    <w:rsid w:val="00CC4F5F"/>
    <w:rsid w:val="00CD0419"/>
    <w:rsid w:val="00CD1A5B"/>
    <w:rsid w:val="00CE2B78"/>
    <w:rsid w:val="00CE7E51"/>
    <w:rsid w:val="00CF2750"/>
    <w:rsid w:val="00CF6689"/>
    <w:rsid w:val="00D0257B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642C"/>
    <w:rsid w:val="00E23D9A"/>
    <w:rsid w:val="00E328F6"/>
    <w:rsid w:val="00E338F4"/>
    <w:rsid w:val="00E34846"/>
    <w:rsid w:val="00E42D17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1604E"/>
    <w:rsid w:val="00F212A4"/>
    <w:rsid w:val="00F26FF2"/>
    <w:rsid w:val="00F34132"/>
    <w:rsid w:val="00F5062B"/>
    <w:rsid w:val="00F50D08"/>
    <w:rsid w:val="00F5569E"/>
    <w:rsid w:val="00F56D8D"/>
    <w:rsid w:val="00F572EF"/>
    <w:rsid w:val="00F600E7"/>
    <w:rsid w:val="00F84D33"/>
    <w:rsid w:val="00F91C45"/>
    <w:rsid w:val="00F94A91"/>
    <w:rsid w:val="00F9548B"/>
    <w:rsid w:val="00F96338"/>
    <w:rsid w:val="00F97CAE"/>
    <w:rsid w:val="00FA4DB8"/>
    <w:rsid w:val="00FA5355"/>
    <w:rsid w:val="00FB1524"/>
    <w:rsid w:val="00FB4B16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1382</Words>
  <Characters>7463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6</cp:revision>
  <cp:lastPrinted>2025-09-24T18:54:00Z</cp:lastPrinted>
  <dcterms:created xsi:type="dcterms:W3CDTF">2026-03-04T17:43:00Z</dcterms:created>
  <dcterms:modified xsi:type="dcterms:W3CDTF">2026-05-20T12:26:00Z</dcterms:modified>
  <dc:language>pt-BR</dc:language>
</cp:coreProperties>
</file>