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93538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75</w:t>
      </w:r>
      <w:r w:rsidR="002A497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2A4975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2A4975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2A4975" w:rsidRPr="002A4975">
        <w:rPr>
          <w:sz w:val="24"/>
          <w:szCs w:val="24"/>
        </w:rPr>
        <w:t>, por meio da secretaria ou órgão competente, que promova o cumprimento integral da Norma Regulamentadora nº 01 (NR-1), do Ministério do Trabalho e Emprego, em todos os órgãos, repartições, unidades administrativas e ambientes de trabalho vinculados à administração pública municipal, conforme justificativa a seguir</w:t>
      </w:r>
      <w:r w:rsidR="0038222A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A415A2" w:rsidRPr="00A415A2" w:rsidRDefault="00A415A2" w:rsidP="00A415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15A2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garantir condições adequadas de saúde, segurança e prevenção de riscos ocupacionais aos servidores públicos municipais, em conformidade com as diretrizes estabelecidas pela Norma Regulamentadora nº 01 (NR-1), especialmente após as recentes atualizações relacionadas ao gerenciamento de riscos ocupacionais e aos fatores psicossociais no ambiente de trabalho.</w:t>
      </w:r>
    </w:p>
    <w:p w:rsidR="00A415A2" w:rsidRPr="00A415A2" w:rsidRDefault="00A415A2" w:rsidP="00A415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15A2">
        <w:rPr>
          <w:rFonts w:asciiTheme="minorHAnsi" w:eastAsia="Times New Roman" w:hAnsiTheme="minorHAnsi" w:cstheme="minorHAnsi"/>
          <w:sz w:val="24"/>
          <w:szCs w:val="24"/>
          <w:lang w:eastAsia="pt-BR"/>
        </w:rPr>
        <w:t>A NR-1 estabelece disposições gerais sobre segurança e saúde no trabalho, determinando a obrigatoriedade de identificação, avaliação e controle dos riscos existentes nos ambientes laborais, bem como a implementação do Programa de Gerenciamento de Riscos (PGR). A norma também reforça a necessidade de promoção de ambientes organizacionais saudáveis, capazes de prevenir adoecimentos físicos e mentais decorrentes das atividades profissionais.</w:t>
      </w:r>
    </w:p>
    <w:p w:rsidR="00A415A2" w:rsidRPr="00A415A2" w:rsidRDefault="00A415A2" w:rsidP="00A415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15A2">
        <w:rPr>
          <w:rFonts w:asciiTheme="minorHAnsi" w:eastAsia="Times New Roman" w:hAnsiTheme="minorHAnsi" w:cstheme="minorHAnsi"/>
          <w:sz w:val="24"/>
          <w:szCs w:val="24"/>
          <w:lang w:eastAsia="pt-BR"/>
        </w:rPr>
        <w:t>É de conhecimento público que servidores municipais frequentemente enfrentam situações de sobrecarga, assédio institucional, jornadas exaustivas, ausência de estrutura adequada, déficit de pessoal e condições precárias de trabalho, fatores que impactam diretamente a saúde física e psicológica dos trabalhadores e, consequentemente, a qualidade dos serviços prestados à população.</w:t>
      </w:r>
    </w:p>
    <w:p w:rsidR="00A415A2" w:rsidRPr="00A415A2" w:rsidRDefault="00A415A2" w:rsidP="00A415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15A2">
        <w:rPr>
          <w:rFonts w:asciiTheme="minorHAnsi" w:eastAsia="Times New Roman" w:hAnsiTheme="minorHAnsi" w:cstheme="minorHAnsi"/>
          <w:sz w:val="24"/>
          <w:szCs w:val="24"/>
          <w:lang w:eastAsia="pt-BR"/>
        </w:rPr>
        <w:t>O cumprimento integral da NR-1 representa medida essencial para a valorização do servidor público, redução de afastamentos por adoecimento, prevenção de acidentes de trabalho e melhoria da eficiência administrativa. Além disso, a adoção das medidas previstas na norma contribui para a diminuição de passivos trabalhistas e para o fortalecimento de uma cultura institucional de respeito à dignidade humana.</w:t>
      </w:r>
    </w:p>
    <w:p w:rsidR="00A415A2" w:rsidRPr="00A415A2" w:rsidRDefault="00A415A2" w:rsidP="00A415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15A2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indico ao Poder Executivo Municipal a adoção das seguintes providências:</w:t>
      </w:r>
    </w:p>
    <w:p w:rsidR="00A415A2" w:rsidRPr="00A415A2" w:rsidRDefault="00A415A2" w:rsidP="00A415A2">
      <w:pPr>
        <w:pStyle w:val="PargrafodaLista"/>
        <w:numPr>
          <w:ilvl w:val="0"/>
          <w:numId w:val="22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15A2">
        <w:rPr>
          <w:rFonts w:asciiTheme="minorHAnsi" w:eastAsia="Times New Roman" w:hAnsiTheme="minorHAnsi" w:cstheme="minorHAnsi"/>
          <w:sz w:val="24"/>
          <w:szCs w:val="24"/>
          <w:lang w:eastAsia="pt-BR"/>
        </w:rPr>
        <w:t>Realização de diagnóstico técnico dos ambientes de trabalho da administração municipal, com identificação de riscos físicos, ergonômicos, químicos, biológicos, mecânicos e psicossociais.</w:t>
      </w:r>
    </w:p>
    <w:p w:rsidR="00A415A2" w:rsidRPr="00A415A2" w:rsidRDefault="00A415A2" w:rsidP="00A415A2">
      <w:pPr>
        <w:pStyle w:val="PargrafodaLista"/>
        <w:numPr>
          <w:ilvl w:val="0"/>
          <w:numId w:val="22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15A2">
        <w:rPr>
          <w:rFonts w:asciiTheme="minorHAnsi" w:eastAsia="Times New Roman" w:hAnsiTheme="minorHAnsi" w:cstheme="minorHAnsi"/>
          <w:sz w:val="24"/>
          <w:szCs w:val="24"/>
          <w:lang w:eastAsia="pt-BR"/>
        </w:rPr>
        <w:t>Implantação e atualização contínua do Programa de Gerenciamento de Riscos (PGR), nos termos da NR-1, abrangendo todos os setores da administração direta e indireta.</w:t>
      </w:r>
    </w:p>
    <w:p w:rsidR="00A415A2" w:rsidRPr="00A415A2" w:rsidRDefault="00A415A2" w:rsidP="00A415A2">
      <w:pPr>
        <w:pStyle w:val="PargrafodaLista"/>
        <w:numPr>
          <w:ilvl w:val="0"/>
          <w:numId w:val="22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15A2">
        <w:rPr>
          <w:rFonts w:asciiTheme="minorHAnsi" w:eastAsia="Times New Roman" w:hAnsiTheme="minorHAnsi" w:cstheme="minorHAnsi"/>
          <w:sz w:val="24"/>
          <w:szCs w:val="24"/>
          <w:lang w:eastAsia="pt-BR"/>
        </w:rPr>
        <w:t>Desenvolvimento de políticas internas de prevenção ao assédio moral, à violência institucional e ao adoecimento mental relacionado ao trabalho.</w:t>
      </w:r>
    </w:p>
    <w:p w:rsidR="00A415A2" w:rsidRPr="00A415A2" w:rsidRDefault="00A415A2" w:rsidP="00A415A2">
      <w:pPr>
        <w:pStyle w:val="PargrafodaLista"/>
        <w:numPr>
          <w:ilvl w:val="0"/>
          <w:numId w:val="22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15A2">
        <w:rPr>
          <w:rFonts w:asciiTheme="minorHAnsi" w:eastAsia="Times New Roman" w:hAnsiTheme="minorHAnsi" w:cstheme="minorHAnsi"/>
          <w:sz w:val="24"/>
          <w:szCs w:val="24"/>
          <w:lang w:eastAsia="pt-BR"/>
        </w:rPr>
        <w:t>Capacitação periódica de gestores e servidores sobre saúde e segurança no trabalho, prevenção de riscos ocupacionais e promoção da saúde mental.</w:t>
      </w:r>
    </w:p>
    <w:p w:rsidR="00A415A2" w:rsidRPr="00A415A2" w:rsidRDefault="00A415A2" w:rsidP="00A415A2">
      <w:pPr>
        <w:pStyle w:val="PargrafodaLista"/>
        <w:numPr>
          <w:ilvl w:val="0"/>
          <w:numId w:val="22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15A2">
        <w:rPr>
          <w:rFonts w:asciiTheme="minorHAnsi" w:eastAsia="Times New Roman" w:hAnsiTheme="minorHAnsi" w:cstheme="minorHAnsi"/>
          <w:sz w:val="24"/>
          <w:szCs w:val="24"/>
          <w:lang w:eastAsia="pt-BR"/>
        </w:rPr>
        <w:t>Garantia de fornecimento adequado de equipamentos de proteção individual e coletiva, bem como melhoria das condições estruturais dos ambientes de trabalho.</w:t>
      </w:r>
    </w:p>
    <w:p w:rsidR="00A415A2" w:rsidRPr="00A415A2" w:rsidRDefault="00A415A2" w:rsidP="00A415A2">
      <w:pPr>
        <w:pStyle w:val="PargrafodaLista"/>
        <w:numPr>
          <w:ilvl w:val="0"/>
          <w:numId w:val="22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A415A2">
        <w:rPr>
          <w:rFonts w:asciiTheme="minorHAnsi" w:eastAsia="Times New Roman" w:hAnsiTheme="minorHAnsi" w:cstheme="minorHAnsi"/>
          <w:sz w:val="24"/>
          <w:szCs w:val="24"/>
          <w:lang w:eastAsia="pt-BR"/>
        </w:rPr>
        <w:t>Criação de canais institucionais seguros para acolhimento e acompanhamento de denúncias relacionadas a condições inadequadas de trabalho e riscos psicossociais.</w:t>
      </w:r>
    </w:p>
    <w:p w:rsidR="00A415A2" w:rsidRPr="00A415A2" w:rsidRDefault="00A415A2" w:rsidP="00A415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15A2">
        <w:rPr>
          <w:rFonts w:asciiTheme="minorHAnsi" w:eastAsia="Times New Roman" w:hAnsiTheme="minorHAnsi" w:cstheme="minorHAnsi"/>
          <w:sz w:val="24"/>
          <w:szCs w:val="24"/>
          <w:lang w:eastAsia="pt-BR"/>
        </w:rPr>
        <w:t>A administração pública deve ser exemplo no cumprimento das normas de proteção ao trabalhador, assegurando aos servidores municipais um ambiente laboral digno, saudável e seguro. A valorização dos profissionais do serviço público é medida indispensável para o fortalecimento da qualidade do atendimento prestado à população.</w:t>
      </w:r>
    </w:p>
    <w:p w:rsidR="001C2D93" w:rsidRDefault="00A415A2" w:rsidP="00A415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15A2">
        <w:rPr>
          <w:rFonts w:asciiTheme="minorHAnsi" w:eastAsia="Times New Roman" w:hAnsiTheme="minorHAnsi" w:cstheme="minorHAnsi"/>
          <w:sz w:val="24"/>
          <w:szCs w:val="24"/>
          <w:lang w:eastAsia="pt-BR"/>
        </w:rPr>
        <w:t>Assim, diante da relevância da matéria e da necessidade de adequação preventiva às exigências da legislação trabalhista e de saúde ocupacional, solicito o apoio dos nobres pares para a aprovação da presente indicação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351EA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351EA2">
        <w:rPr>
          <w:rFonts w:asciiTheme="minorHAnsi" w:eastAsia="Arial" w:hAnsiTheme="minorHAnsi" w:cstheme="minorHAnsi"/>
          <w:b/>
          <w:sz w:val="24"/>
          <w:szCs w:val="24"/>
        </w:rPr>
        <w:t>Gabriel Vinícius Silveira de Araújo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49008C1"/>
    <w:multiLevelType w:val="hybridMultilevel"/>
    <w:tmpl w:val="F3AEDF5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A772D05"/>
    <w:multiLevelType w:val="hybridMultilevel"/>
    <w:tmpl w:val="C7A497C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C6F33F5"/>
    <w:multiLevelType w:val="hybridMultilevel"/>
    <w:tmpl w:val="FBB85E0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"/>
  </w:num>
  <w:num w:numId="3">
    <w:abstractNumId w:val="10"/>
  </w:num>
  <w:num w:numId="4">
    <w:abstractNumId w:val="5"/>
  </w:num>
  <w:num w:numId="5">
    <w:abstractNumId w:val="19"/>
  </w:num>
  <w:num w:numId="6">
    <w:abstractNumId w:val="7"/>
  </w:num>
  <w:num w:numId="7">
    <w:abstractNumId w:val="20"/>
  </w:num>
  <w:num w:numId="8">
    <w:abstractNumId w:val="11"/>
  </w:num>
  <w:num w:numId="9">
    <w:abstractNumId w:val="14"/>
  </w:num>
  <w:num w:numId="10">
    <w:abstractNumId w:val="0"/>
  </w:num>
  <w:num w:numId="11">
    <w:abstractNumId w:val="13"/>
  </w:num>
  <w:num w:numId="12">
    <w:abstractNumId w:val="4"/>
  </w:num>
  <w:num w:numId="13">
    <w:abstractNumId w:val="8"/>
  </w:num>
  <w:num w:numId="14">
    <w:abstractNumId w:val="12"/>
  </w:num>
  <w:num w:numId="15">
    <w:abstractNumId w:val="18"/>
  </w:num>
  <w:num w:numId="16">
    <w:abstractNumId w:val="6"/>
  </w:num>
  <w:num w:numId="17">
    <w:abstractNumId w:val="2"/>
  </w:num>
  <w:num w:numId="18">
    <w:abstractNumId w:val="3"/>
  </w:num>
  <w:num w:numId="19">
    <w:abstractNumId w:val="17"/>
  </w:num>
  <w:num w:numId="20">
    <w:abstractNumId w:val="16"/>
  </w:num>
  <w:num w:numId="21">
    <w:abstractNumId w:val="15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2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C4256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A4975"/>
    <w:rsid w:val="002C3A74"/>
    <w:rsid w:val="002C5BF0"/>
    <w:rsid w:val="002D207B"/>
    <w:rsid w:val="002F45A4"/>
    <w:rsid w:val="003042D0"/>
    <w:rsid w:val="00310E87"/>
    <w:rsid w:val="00315C7D"/>
    <w:rsid w:val="0033056D"/>
    <w:rsid w:val="00351EA2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3538F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15A2"/>
    <w:rsid w:val="00A4366F"/>
    <w:rsid w:val="00A4495F"/>
    <w:rsid w:val="00A46C5A"/>
    <w:rsid w:val="00A517AB"/>
    <w:rsid w:val="00A51C61"/>
    <w:rsid w:val="00A70D74"/>
    <w:rsid w:val="00A71429"/>
    <w:rsid w:val="00A76307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3"/>
    <o:shapelayout v:ext="edit">
      <o:idmap v:ext="edit" data="1"/>
    </o:shapelayout>
  </w:shapeDefaults>
  <w:decimalSymbol w:val=","/>
  <w:listSeparator w:val=";"/>
  <w14:docId w14:val="386FC85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8A611B-CCD2-4B34-9066-5B2111927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597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116</cp:revision>
  <cp:lastPrinted>2023-06-23T16:25:00Z</cp:lastPrinted>
  <dcterms:created xsi:type="dcterms:W3CDTF">2026-02-09T16:25:00Z</dcterms:created>
  <dcterms:modified xsi:type="dcterms:W3CDTF">2026-05-18T14:17:00Z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