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769"/>
        <w:ind w:left="709" w:right="874"/>
        <w:jc w:val="center"/>
        <w:tabs>
          <w:tab w:val="left" w:pos="709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EMENDA ADITIVA</w:t>
      </w:r>
      <w:r/>
    </w:p>
    <w:p>
      <w:pPr>
        <w:pStyle w:val="769"/>
        <w:ind w:left="709" w:right="874"/>
        <w:jc w:val="center"/>
        <w:tabs>
          <w:tab w:val="left" w:pos="709" w:leader="none"/>
        </w:tabs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769"/>
        <w:ind w:left="709" w:right="874"/>
        <w:jc w:val="center"/>
        <w:tabs>
          <w:tab w:val="left" w:pos="709" w:leader="none"/>
        </w:tabs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769"/>
        <w:ind w:left="709" w:right="874"/>
        <w:jc w:val="center"/>
        <w:tabs>
          <w:tab w:val="left" w:pos="709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EMENDA ADITIVA </w:t>
      </w:r>
      <w:r>
        <w:rPr>
          <w:sz w:val="28"/>
          <w:szCs w:val="28"/>
        </w:rPr>
        <w:t xml:space="preserve">AO </w:t>
      </w:r>
      <w:r>
        <w:rPr>
          <w:sz w:val="28"/>
          <w:szCs w:val="28"/>
        </w:rPr>
        <w:t xml:space="preserve">PROJETO DE LEI Nº 138</w:t>
      </w:r>
      <w:r>
        <w:rPr>
          <w:sz w:val="28"/>
          <w:szCs w:val="28"/>
        </w:rPr>
        <w:t xml:space="preserve">/2023.</w:t>
      </w:r>
      <w:r/>
    </w:p>
    <w:p>
      <w:pPr>
        <w:pStyle w:val="769"/>
        <w:ind w:left="709" w:right="874"/>
        <w:jc w:val="both"/>
        <w:tabs>
          <w:tab w:val="left" w:pos="709" w:leader="none"/>
        </w:tabs>
        <w:rPr>
          <w:b/>
        </w:rPr>
      </w:pPr>
      <w:r>
        <w:rPr>
          <w:b/>
        </w:rPr>
      </w:r>
      <w:r/>
    </w:p>
    <w:p>
      <w:pPr>
        <w:pStyle w:val="769"/>
        <w:ind w:left="709" w:right="874"/>
        <w:jc w:val="both"/>
        <w:tabs>
          <w:tab w:val="left" w:pos="709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Autoria </w:t>
      </w:r>
      <w:r>
        <w:rPr>
          <w:sz w:val="28"/>
          <w:szCs w:val="28"/>
        </w:rPr>
        <w:t xml:space="preserve">– Vereador Jardel Oliveira</w:t>
      </w:r>
      <w:r>
        <w:rPr>
          <w:sz w:val="28"/>
          <w:szCs w:val="28"/>
        </w:rPr>
      </w:r>
      <w:r/>
    </w:p>
    <w:p>
      <w:pPr>
        <w:pStyle w:val="769"/>
        <w:ind w:left="709" w:right="874"/>
        <w:jc w:val="both"/>
        <w:tabs>
          <w:tab w:val="left" w:pos="709" w:leader="none"/>
        </w:tabs>
        <w:rPr>
          <w:b/>
        </w:rPr>
      </w:pPr>
      <w:r>
        <w:rPr>
          <w:b/>
        </w:rPr>
      </w:r>
      <w:r/>
    </w:p>
    <w:p>
      <w:pPr>
        <w:pStyle w:val="769"/>
        <w:ind w:left="709" w:right="874"/>
        <w:jc w:val="both"/>
        <w:tabs>
          <w:tab w:val="left" w:pos="709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ASSUNTO - "</w:t>
      </w:r>
      <w:r>
        <w:rPr>
          <w:sz w:val="28"/>
          <w:szCs w:val="28"/>
        </w:rPr>
        <w:t xml:space="preserve">Dispõe sobre </w:t>
      </w:r>
      <w:r>
        <w:rPr>
          <w:sz w:val="28"/>
          <w:szCs w:val="28"/>
        </w:rPr>
        <w:t xml:space="preserve">as</w:t>
      </w:r>
      <w:r>
        <w:rPr>
          <w:sz w:val="28"/>
          <w:szCs w:val="28"/>
        </w:rPr>
        <w:t xml:space="preserve"> Diretrizes Orçamentárias para o exercício de 2024 e dá outras p</w:t>
      </w:r>
      <w:r>
        <w:rPr>
          <w:sz w:val="28"/>
          <w:szCs w:val="28"/>
        </w:rPr>
        <w:t xml:space="preserve">rovidências</w:t>
      </w:r>
      <w:r>
        <w:rPr>
          <w:sz w:val="28"/>
          <w:szCs w:val="28"/>
        </w:rPr>
        <w:t xml:space="preserve">".</w:t>
      </w:r>
      <w:r>
        <w:rPr>
          <w:sz w:val="28"/>
          <w:szCs w:val="28"/>
        </w:rPr>
        <w:br/>
      </w:r>
      <w:r/>
    </w:p>
    <w:p>
      <w:pPr>
        <w:pStyle w:val="769"/>
        <w:ind w:left="709" w:right="874"/>
        <w:jc w:val="center"/>
        <w:tabs>
          <w:tab w:val="left" w:pos="709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TEOR DA EMENDA</w:t>
      </w:r>
      <w:r/>
    </w:p>
    <w:p>
      <w:pPr>
        <w:pStyle w:val="769"/>
        <w:ind w:left="709" w:right="874"/>
        <w:jc w:val="both"/>
        <w:tabs>
          <w:tab w:val="left" w:pos="709" w:leader="none"/>
        </w:tabs>
        <w:rPr>
          <w:b/>
        </w:rPr>
      </w:pPr>
      <w:r>
        <w:rPr>
          <w:b/>
        </w:rPr>
      </w:r>
      <w:r/>
    </w:p>
    <w:p>
      <w:pPr>
        <w:pStyle w:val="769"/>
        <w:ind w:left="709" w:right="874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Ar</w:t>
      </w:r>
      <w:r>
        <w:rPr>
          <w:sz w:val="24"/>
          <w:szCs w:val="24"/>
        </w:rPr>
        <w:t xml:space="preserve">t. 1º - Adite-se ao capítulo IV, artigo 32-A</w:t>
      </w:r>
      <w:r>
        <w:rPr>
          <w:sz w:val="24"/>
          <w:szCs w:val="24"/>
        </w:rPr>
        <w:t xml:space="preserve">, 32-B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32-C</w:t>
      </w:r>
      <w:r>
        <w:rPr>
          <w:sz w:val="24"/>
          <w:szCs w:val="24"/>
        </w:rPr>
        <w:t xml:space="preserve">, 32-D, 32-E, 32-F, 32-G, 32-H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das d</w:t>
      </w:r>
      <w:r>
        <w:rPr>
          <w:sz w:val="24"/>
          <w:szCs w:val="24"/>
        </w:rPr>
        <w:t xml:space="preserve">isposições relativas às Emendas ao Projeto de Lei de Orçamento</w:t>
      </w:r>
      <w:r>
        <w:rPr>
          <w:sz w:val="24"/>
          <w:szCs w:val="24"/>
        </w:rPr>
        <w:t xml:space="preserve">, ficando com a seguinte redação:</w:t>
      </w:r>
      <w:r/>
    </w:p>
    <w:p>
      <w:pPr>
        <w:pStyle w:val="769"/>
        <w:ind w:left="709" w:right="874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pStyle w:val="769"/>
        <w:ind w:left="709" w:right="874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“</w:t>
      </w:r>
      <w:r>
        <w:rPr>
          <w:sz w:val="24"/>
          <w:szCs w:val="24"/>
        </w:rPr>
        <w:t xml:space="preserve">Art. 32-A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 Os autores das emendas individuais </w:t>
      </w:r>
      <w:r>
        <w:rPr>
          <w:sz w:val="24"/>
          <w:szCs w:val="24"/>
        </w:rPr>
        <w:t xml:space="preserve">e de bancada referidas</w:t>
      </w:r>
      <w:r>
        <w:rPr>
          <w:sz w:val="24"/>
          <w:szCs w:val="24"/>
        </w:rPr>
        <w:t xml:space="preserve"> poderão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indicar na LOA os beneficiários específicos, nos termos da Lei Federal nº 13.019, de 31 de julho</w:t>
      </w:r>
      <w:r/>
    </w:p>
    <w:p>
      <w:pPr>
        <w:pStyle w:val="769"/>
        <w:ind w:left="709" w:right="874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de</w:t>
      </w:r>
      <w:r>
        <w:rPr>
          <w:sz w:val="24"/>
          <w:szCs w:val="24"/>
        </w:rPr>
        <w:t xml:space="preserve"> 2014, e alterações posteriores, sob a forma de subvenções, auxílios ou contribuições, bem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como deverão indicar a ordem de prioridade para efeito da aplicação dos limites da execução,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com vistas ao at</w:t>
      </w:r>
      <w:r>
        <w:rPr>
          <w:sz w:val="24"/>
          <w:szCs w:val="24"/>
        </w:rPr>
        <w:t xml:space="preserve">endimento ao disposto no art. 100-A e §§ da LOM</w:t>
      </w:r>
      <w:r>
        <w:rPr>
          <w:sz w:val="24"/>
          <w:szCs w:val="24"/>
        </w:rPr>
        <w:t xml:space="preserve">.</w:t>
      </w:r>
      <w:r/>
    </w:p>
    <w:p>
      <w:pPr>
        <w:pStyle w:val="769"/>
        <w:ind w:left="709" w:right="874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pStyle w:val="769"/>
        <w:ind w:left="709" w:right="874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Art. 32-B</w:t>
      </w:r>
      <w:r>
        <w:rPr>
          <w:sz w:val="24"/>
          <w:szCs w:val="24"/>
        </w:rPr>
        <w:t xml:space="preserve">. O Executivo Municipal encaminhará, juntamente com a LOA, a relação</w:t>
      </w:r>
      <w:r>
        <w:rPr>
          <w:sz w:val="24"/>
          <w:szCs w:val="24"/>
        </w:rPr>
        <w:t xml:space="preserve"> de entidades aptas a receber valores provenientes das emendas individuais e de bancada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br/>
      </w:r>
      <w:r/>
    </w:p>
    <w:p>
      <w:pPr>
        <w:pStyle w:val="769"/>
        <w:ind w:left="709" w:right="874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Art. 32-C</w:t>
      </w:r>
      <w:r>
        <w:rPr>
          <w:sz w:val="24"/>
          <w:szCs w:val="24"/>
        </w:rPr>
        <w:t xml:space="preserve">. A despesa decorrente das emendas individuais </w:t>
      </w:r>
      <w:r>
        <w:rPr>
          <w:sz w:val="24"/>
          <w:szCs w:val="24"/>
        </w:rPr>
        <w:t xml:space="preserve">e de bancada </w:t>
      </w:r>
      <w:r>
        <w:rPr>
          <w:sz w:val="24"/>
          <w:szCs w:val="24"/>
        </w:rPr>
        <w:t xml:space="preserve">deve guardar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correspondência com o interesse público da ação pretendida e o princípio da impessoalidade.</w:t>
      </w:r>
      <w:r/>
    </w:p>
    <w:p>
      <w:pPr>
        <w:pStyle w:val="769"/>
        <w:ind w:left="709" w:right="874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pStyle w:val="769"/>
        <w:ind w:left="709" w:right="874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Parágrafo único. As emendas individuais:</w:t>
      </w:r>
      <w:r/>
    </w:p>
    <w:p>
      <w:pPr>
        <w:pStyle w:val="769"/>
        <w:ind w:left="709" w:right="874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pStyle w:val="769"/>
        <w:ind w:left="709" w:right="874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I – serão limitadas a 02 (duas</w:t>
      </w:r>
      <w:r>
        <w:rPr>
          <w:sz w:val="24"/>
          <w:szCs w:val="24"/>
        </w:rPr>
        <w:t xml:space="preserve">) emendas por parlamentar para o exercício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orçamentário; </w:t>
      </w:r>
      <w:r>
        <w:rPr>
          <w:sz w:val="24"/>
          <w:szCs w:val="24"/>
        </w:rPr>
        <w:t xml:space="preserve">e</w:t>
      </w:r>
      <w:r/>
    </w:p>
    <w:p>
      <w:pPr>
        <w:pStyle w:val="769"/>
        <w:ind w:left="709" w:right="874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pStyle w:val="769"/>
        <w:ind w:left="709" w:right="874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II – quando não destinadas à área da saúde, deverão ter valor mínimo de R$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40.000,00 (quarenta</w:t>
      </w:r>
      <w:r>
        <w:rPr>
          <w:sz w:val="24"/>
          <w:szCs w:val="24"/>
        </w:rPr>
        <w:t xml:space="preserve"> mil reais) para sua apresentação e execução.</w:t>
      </w:r>
      <w:r/>
    </w:p>
    <w:p>
      <w:pPr>
        <w:pStyle w:val="769"/>
        <w:ind w:left="709" w:right="874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pStyle w:val="769"/>
        <w:ind w:left="709" w:right="874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Art. 32-D. </w:t>
      </w:r>
      <w:r>
        <w:rPr>
          <w:sz w:val="24"/>
          <w:szCs w:val="24"/>
        </w:rPr>
        <w:t xml:space="preserve">Somente poderá ser apresentado </w:t>
      </w:r>
      <w:r>
        <w:rPr>
          <w:sz w:val="24"/>
          <w:szCs w:val="24"/>
        </w:rPr>
        <w:t xml:space="preserve">0</w:t>
      </w:r>
      <w:r>
        <w:rPr>
          <w:sz w:val="24"/>
          <w:szCs w:val="24"/>
        </w:rPr>
        <w:t xml:space="preserve">1 (um) beneficiário para cada emenda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destinada à entidade privada sem fins lucrativos.</w:t>
      </w:r>
      <w:r/>
    </w:p>
    <w:p>
      <w:pPr>
        <w:pStyle w:val="769"/>
        <w:ind w:left="709" w:right="874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pStyle w:val="769"/>
        <w:ind w:left="709" w:right="874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Art. 32-E. </w:t>
      </w:r>
      <w:r>
        <w:rPr>
          <w:sz w:val="24"/>
          <w:szCs w:val="24"/>
        </w:rPr>
        <w:t xml:space="preserve">O valor destinado às emendas parlamentares impositivas deverá ser</w:t>
      </w:r>
      <w:r>
        <w:rPr>
          <w:sz w:val="24"/>
          <w:szCs w:val="24"/>
        </w:rPr>
        <w:t xml:space="preserve"> suficiente </w:t>
      </w:r>
      <w:r>
        <w:rPr>
          <w:sz w:val="24"/>
          <w:szCs w:val="24"/>
        </w:rPr>
        <w:t xml:space="preserve">para a execução do objeto proposto no exercício financeiro, considerando ainda a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variação inflacionária projetada para o período entre a proposição e a execução da emenda.</w:t>
      </w:r>
      <w:r/>
    </w:p>
    <w:p>
      <w:pPr>
        <w:pStyle w:val="769"/>
        <w:ind w:left="709" w:right="874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pStyle w:val="769"/>
        <w:ind w:left="709" w:right="874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Style w:val="769"/>
        <w:ind w:left="709" w:right="874"/>
        <w:jc w:val="both"/>
        <w:tabs>
          <w:tab w:val="left" w:pos="709" w:leader="none"/>
        </w:tabs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Art. 32-F. </w:t>
      </w:r>
      <w:r>
        <w:rPr>
          <w:sz w:val="24"/>
          <w:szCs w:val="24"/>
        </w:rPr>
        <w:t xml:space="preserve">As entidades privadas, eventualmente, indicadas como beneficiárias,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para fins de operacionalização das emendas individuais </w:t>
      </w:r>
      <w:r>
        <w:rPr>
          <w:sz w:val="24"/>
          <w:szCs w:val="24"/>
        </w:rPr>
        <w:t xml:space="preserve">e de bancada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deverão apresentar plano de trabalho, sujeito à aprovação pelo Executivo Municipal, que deverá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conter:</w:t>
      </w:r>
      <w:r/>
    </w:p>
    <w:p>
      <w:pPr>
        <w:pStyle w:val="769"/>
        <w:ind w:left="709" w:right="874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pStyle w:val="769"/>
        <w:ind w:left="709" w:right="873"/>
        <w:jc w:val="both"/>
        <w:spacing w:line="360" w:lineRule="auto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I – cronograma físico e financeiro;</w:t>
      </w:r>
      <w:r/>
    </w:p>
    <w:p>
      <w:pPr>
        <w:pStyle w:val="769"/>
        <w:ind w:left="709" w:right="873"/>
        <w:jc w:val="both"/>
        <w:spacing w:line="360" w:lineRule="auto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II – plano de aplicação das despesas;</w:t>
      </w:r>
      <w:r/>
    </w:p>
    <w:p>
      <w:pPr>
        <w:pStyle w:val="769"/>
        <w:ind w:left="709" w:right="873"/>
        <w:jc w:val="both"/>
        <w:spacing w:line="360" w:lineRule="auto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III – informações de conta corrente específica; </w:t>
      </w:r>
      <w:r>
        <w:rPr>
          <w:sz w:val="24"/>
          <w:szCs w:val="24"/>
        </w:rPr>
        <w:t xml:space="preserve">e</w:t>
      </w:r>
      <w:r/>
    </w:p>
    <w:p>
      <w:pPr>
        <w:pStyle w:val="769"/>
        <w:ind w:left="709" w:right="873"/>
        <w:jc w:val="both"/>
        <w:spacing w:line="360" w:lineRule="auto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IV – metas a serem atingidas de acordo com a Lei nº 13.019, de 31 de julho de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2014, e alterações posteriores.</w:t>
      </w:r>
      <w:r/>
    </w:p>
    <w:p>
      <w:pPr>
        <w:pStyle w:val="769"/>
        <w:ind w:left="709" w:right="874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pStyle w:val="769"/>
        <w:ind w:left="709" w:right="874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§ 1º O plano de trabalho deverá ser apresentado juntamente com a emenda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proposta à LOA, acompanhado</w:t>
      </w:r>
      <w:r>
        <w:rPr>
          <w:sz w:val="24"/>
          <w:szCs w:val="24"/>
        </w:rPr>
        <w:t xml:space="preserve"> de cópia do CNPJ da entidade</w:t>
      </w:r>
      <w:r>
        <w:rPr>
          <w:sz w:val="24"/>
          <w:szCs w:val="24"/>
        </w:rPr>
        <w:t xml:space="preserve">.</w:t>
      </w:r>
      <w:r/>
    </w:p>
    <w:p>
      <w:pPr>
        <w:pStyle w:val="769"/>
        <w:ind w:left="709" w:right="874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pStyle w:val="769"/>
        <w:ind w:left="709" w:right="874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§ 2º Eventuais correções técnicas do plano de trabalho poderão ser sanadas entre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o órgão responsável e a entidade beneficiária da emenda, desde que não resultem em alteração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do objeto aprovado. </w:t>
      </w:r>
      <w:r>
        <w:rPr>
          <w:sz w:val="24"/>
          <w:szCs w:val="24"/>
        </w:rPr>
        <w:br/>
      </w:r>
      <w:r/>
    </w:p>
    <w:p>
      <w:pPr>
        <w:pStyle w:val="769"/>
        <w:ind w:left="709" w:right="874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Art. 32-G. </w:t>
      </w:r>
      <w:r>
        <w:rPr>
          <w:sz w:val="24"/>
          <w:szCs w:val="24"/>
        </w:rPr>
        <w:t xml:space="preserve">P</w:t>
      </w:r>
      <w:r>
        <w:rPr>
          <w:sz w:val="24"/>
          <w:szCs w:val="24"/>
        </w:rPr>
        <w:t xml:space="preserve">ara fins do disposto no art. 100-A, § 5º da LOM</w:t>
      </w:r>
      <w:r>
        <w:rPr>
          <w:sz w:val="24"/>
          <w:szCs w:val="24"/>
        </w:rPr>
        <w:t xml:space="preserve">, consideram-se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impedimentos de ordem técnica qualquer situação ou evento de ordem fática ou legal que obste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ou suspenda a execução da programação orçamentária, em especial os que seguem abaixo:</w:t>
      </w:r>
      <w:r/>
    </w:p>
    <w:p>
      <w:pPr>
        <w:pStyle w:val="769"/>
        <w:ind w:left="709" w:right="874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pStyle w:val="769"/>
        <w:ind w:left="709" w:right="874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I – a não comprovação de que os recursos orçamentários ou financeiros são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suficientes para conclusão do projeto ou de etapa útil com funcionalidade que permita o imediato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usufruto dos benefícios pela sociedade;</w:t>
      </w:r>
      <w:r/>
    </w:p>
    <w:p>
      <w:pPr>
        <w:pStyle w:val="769"/>
        <w:ind w:left="709" w:right="874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II – a incompatibilidade do objeto da emenda com a finalidade do programa ou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da ação orçamentária emendada;</w:t>
      </w:r>
      <w:r/>
    </w:p>
    <w:p>
      <w:pPr>
        <w:pStyle w:val="769"/>
        <w:ind w:left="709" w:right="874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III – a incompatibilidade do valor proposto com o cronograma físico financeiro de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execução do projeto, no caso de emendas relativas à execução de obras;</w:t>
      </w:r>
      <w:r/>
    </w:p>
    <w:p>
      <w:pPr>
        <w:pStyle w:val="769"/>
        <w:ind w:left="709" w:right="874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IV – a aprovação de emenda individual </w:t>
      </w:r>
      <w:r>
        <w:rPr>
          <w:sz w:val="24"/>
          <w:szCs w:val="24"/>
        </w:rPr>
        <w:t xml:space="preserve">e bancada </w:t>
      </w:r>
      <w:r>
        <w:rPr>
          <w:sz w:val="24"/>
          <w:szCs w:val="24"/>
        </w:rPr>
        <w:t xml:space="preserve">que conceda dotação para a instalação ou o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funcionamento de serviço público ainda não criado por lei, em desacordo com o disposto no art.</w:t>
      </w:r>
      <w:r>
        <w:rPr>
          <w:sz w:val="24"/>
          <w:szCs w:val="24"/>
        </w:rPr>
        <w:t xml:space="preserve"> 33, “</w:t>
      </w:r>
      <w:r>
        <w:rPr>
          <w:sz w:val="24"/>
          <w:szCs w:val="24"/>
        </w:rPr>
        <w:t xml:space="preserve">c</w:t>
      </w:r>
      <w:r>
        <w:rPr>
          <w:sz w:val="24"/>
          <w:szCs w:val="24"/>
        </w:rPr>
        <w:t xml:space="preserve">”</w:t>
      </w:r>
      <w:r>
        <w:rPr>
          <w:sz w:val="24"/>
          <w:szCs w:val="24"/>
        </w:rPr>
        <w:t xml:space="preserve"> da Lei Federal nº 4.320, de 1964, e alterações posteriores;</w:t>
      </w:r>
      <w:r/>
    </w:p>
    <w:p>
      <w:pPr>
        <w:pStyle w:val="769"/>
        <w:ind w:left="709" w:right="874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V</w:t>
      </w:r>
      <w:r>
        <w:rPr>
          <w:sz w:val="24"/>
          <w:szCs w:val="24"/>
        </w:rPr>
        <w:t xml:space="preserve"> – a aprovação de emenda individual </w:t>
      </w:r>
      <w:r>
        <w:rPr>
          <w:sz w:val="24"/>
          <w:szCs w:val="24"/>
        </w:rPr>
        <w:t xml:space="preserve">e bancada </w:t>
      </w:r>
      <w:r>
        <w:rPr>
          <w:sz w:val="24"/>
          <w:szCs w:val="24"/>
        </w:rPr>
        <w:t xml:space="preserve">que conceda dotação para o início de obra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cujo projeto não esteja aprovado pelos órgãos competentes, em desacordo ao disposto no art. 33,</w:t>
      </w:r>
      <w:r>
        <w:rPr>
          <w:sz w:val="24"/>
          <w:szCs w:val="24"/>
        </w:rPr>
        <w:t xml:space="preserve"> “</w:t>
      </w:r>
      <w:r>
        <w:rPr>
          <w:sz w:val="24"/>
          <w:szCs w:val="24"/>
        </w:rPr>
        <w:t xml:space="preserve">b</w:t>
      </w:r>
      <w:r>
        <w:rPr>
          <w:sz w:val="24"/>
          <w:szCs w:val="24"/>
        </w:rPr>
        <w:t xml:space="preserve">”</w:t>
      </w:r>
      <w:r>
        <w:rPr>
          <w:sz w:val="24"/>
          <w:szCs w:val="24"/>
        </w:rPr>
        <w:t xml:space="preserve"> da Lei Federal nº 4.320, de 1964, e alterações posteriores;</w:t>
      </w:r>
      <w:r/>
    </w:p>
    <w:p>
      <w:pPr>
        <w:pStyle w:val="769"/>
        <w:ind w:left="709" w:right="874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VI</w:t>
      </w:r>
      <w:r>
        <w:rPr>
          <w:sz w:val="24"/>
          <w:szCs w:val="24"/>
        </w:rPr>
        <w:t xml:space="preserve"> – a destinação de dotação a entidade em situação irregular, em desacordo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com o disposto no art. 17 da Lei Federal nº 4.320, de 1964, e alterações posteriores;</w:t>
      </w:r>
      <w:r/>
    </w:p>
    <w:p>
      <w:pPr>
        <w:pStyle w:val="769"/>
        <w:ind w:left="709" w:right="874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VII</w:t>
      </w:r>
      <w:r>
        <w:rPr>
          <w:sz w:val="24"/>
          <w:szCs w:val="24"/>
        </w:rPr>
        <w:t xml:space="preserve"> – o plano de trabalho não entregue ou com apresentação intempestiva,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considerando prazo estabelecido no art. 32</w:t>
      </w:r>
      <w:r>
        <w:rPr>
          <w:sz w:val="24"/>
          <w:szCs w:val="24"/>
        </w:rPr>
        <w:t xml:space="preserve">-F</w:t>
      </w:r>
      <w:r>
        <w:rPr>
          <w:sz w:val="24"/>
          <w:szCs w:val="24"/>
        </w:rPr>
        <w:t xml:space="preserve"> § 1º </w:t>
      </w:r>
      <w:r>
        <w:rPr>
          <w:sz w:val="24"/>
          <w:szCs w:val="24"/>
        </w:rPr>
        <w:t xml:space="preserve">desta Lei;</w:t>
      </w:r>
      <w:r/>
    </w:p>
    <w:p>
      <w:pPr>
        <w:pStyle w:val="769"/>
        <w:ind w:left="709" w:right="874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VIII</w:t>
      </w:r>
      <w:r>
        <w:rPr>
          <w:sz w:val="24"/>
          <w:szCs w:val="24"/>
        </w:rPr>
        <w:t xml:space="preserve"> – a apresentação de plano de trabalho que não atenda ao disposto nos incs. I a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IV do caput do art. 32</w:t>
      </w:r>
      <w:r>
        <w:rPr>
          <w:sz w:val="24"/>
          <w:szCs w:val="24"/>
        </w:rPr>
        <w:t xml:space="preserve">-F</w:t>
      </w:r>
      <w:r>
        <w:rPr>
          <w:sz w:val="24"/>
          <w:szCs w:val="24"/>
        </w:rPr>
        <w:t xml:space="preserve"> desta Lei;</w:t>
      </w:r>
      <w:r/>
    </w:p>
    <w:p>
      <w:pPr>
        <w:pStyle w:val="769"/>
        <w:ind w:left="709" w:right="874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IX</w:t>
      </w:r>
      <w:r>
        <w:rPr>
          <w:sz w:val="24"/>
          <w:szCs w:val="24"/>
        </w:rPr>
        <w:t xml:space="preserve"> – a destinação de dotação a entidade com fins</w:t>
      </w:r>
      <w:r>
        <w:rPr>
          <w:sz w:val="24"/>
          <w:szCs w:val="24"/>
        </w:rPr>
        <w:t xml:space="preserve"> lucrativos</w:t>
      </w:r>
      <w:r>
        <w:rPr>
          <w:sz w:val="24"/>
          <w:szCs w:val="24"/>
        </w:rPr>
        <w:t xml:space="preserve">;</w:t>
      </w:r>
      <w:r/>
    </w:p>
    <w:p>
      <w:pPr>
        <w:pStyle w:val="769"/>
        <w:ind w:left="709" w:right="874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X</w:t>
      </w:r>
      <w:r>
        <w:rPr>
          <w:sz w:val="24"/>
          <w:szCs w:val="24"/>
        </w:rPr>
        <w:t xml:space="preserve"> – a criação de despesa de caráter continuado para o Município, direta ou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indiretamente;</w:t>
      </w:r>
      <w:r/>
    </w:p>
    <w:p>
      <w:pPr>
        <w:pStyle w:val="769"/>
        <w:ind w:left="709" w:right="874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XI</w:t>
      </w:r>
      <w:r>
        <w:rPr>
          <w:sz w:val="24"/>
          <w:szCs w:val="24"/>
        </w:rPr>
        <w:t xml:space="preserve"> – a destinação de recursos a que não guarde correspondência com o interesse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público e o princípio da impessoalidade; </w:t>
      </w:r>
      <w:r>
        <w:rPr>
          <w:sz w:val="24"/>
          <w:szCs w:val="24"/>
        </w:rPr>
        <w:t xml:space="preserve">e</w:t>
      </w:r>
      <w:r/>
    </w:p>
    <w:p>
      <w:pPr>
        <w:pStyle w:val="769"/>
        <w:ind w:left="709" w:right="874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XII</w:t>
      </w:r>
      <w:r>
        <w:rPr>
          <w:sz w:val="24"/>
          <w:szCs w:val="24"/>
        </w:rPr>
        <w:t xml:space="preserve"> – outros impedimentos técnicos que inviabilizem o empenho ou o pagamento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dentro do exercício financeiro. </w:t>
      </w:r>
      <w:r>
        <w:rPr>
          <w:sz w:val="24"/>
          <w:szCs w:val="24"/>
        </w:rPr>
        <w:br/>
      </w:r>
      <w:r/>
    </w:p>
    <w:p>
      <w:pPr>
        <w:pStyle w:val="769"/>
        <w:ind w:left="709" w:right="874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§ 1º Os impedimentos de ordem técnica de que trata este artigo serão apurados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pelos gestores responsáveis pela execução das respectivas programaçõ</w:t>
      </w:r>
      <w:r>
        <w:rPr>
          <w:sz w:val="24"/>
          <w:szCs w:val="24"/>
        </w:rPr>
        <w:t xml:space="preserve">es orçamentárias </w:t>
      </w:r>
      <w:r>
        <w:rPr>
          <w:sz w:val="24"/>
          <w:szCs w:val="24"/>
        </w:rPr>
        <w:t xml:space="preserve">e comporão relatório a ser formalmente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comunicado pelo Executivo Municipal, observado o prazo dispost</w:t>
      </w:r>
      <w:r>
        <w:rPr>
          <w:sz w:val="24"/>
          <w:szCs w:val="24"/>
        </w:rPr>
        <w:t xml:space="preserve">o no art. 32- H, desta Lei</w:t>
      </w:r>
      <w:r>
        <w:rPr>
          <w:sz w:val="24"/>
          <w:szCs w:val="24"/>
        </w:rPr>
        <w:t xml:space="preserve">.</w:t>
      </w:r>
      <w:r/>
    </w:p>
    <w:p>
      <w:pPr>
        <w:pStyle w:val="769"/>
        <w:ind w:left="709" w:right="874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pStyle w:val="769"/>
        <w:ind w:left="709" w:right="874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§ 2º Os impedimentos de ordem técnica de que trata este artigo serão,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individualmente para cada emenda, identificados como:</w:t>
      </w:r>
      <w:r/>
    </w:p>
    <w:p>
      <w:pPr>
        <w:pStyle w:val="769"/>
        <w:ind w:left="709" w:right="874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pStyle w:val="769"/>
        <w:ind w:left="709" w:right="874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I – superáveis: impedimentos de ordem técnica cujas pendências sejam de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natureza técnica-orçamentária ou documental e que possam ser superadas mediante ação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administrativa ou ato formal do executivo, desde que preservado o objeto da emenda pretendido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pelo autor, sem a necessidade de encaminhamento de projeto de lei ao legislativo nos termos do</w:t>
      </w:r>
      <w:r>
        <w:rPr>
          <w:sz w:val="24"/>
          <w:szCs w:val="24"/>
        </w:rPr>
        <w:t xml:space="preserve"> art. 32-H, desta Lei</w:t>
      </w:r>
      <w:r>
        <w:rPr>
          <w:sz w:val="24"/>
          <w:szCs w:val="24"/>
        </w:rPr>
        <w:t xml:space="preserve">; ou,</w:t>
      </w:r>
      <w:r/>
    </w:p>
    <w:p>
      <w:pPr>
        <w:pStyle w:val="769"/>
        <w:ind w:left="709" w:right="874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pStyle w:val="769"/>
        <w:ind w:left="709" w:right="874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II – insuperáveis: impedimentos de ordem técnica cuja medida saneadora resulta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em projeto de lei de remanejamento de programações orçamentárias de emendas, nos termos do</w:t>
      </w:r>
      <w:r>
        <w:rPr>
          <w:sz w:val="24"/>
          <w:szCs w:val="24"/>
        </w:rPr>
        <w:t xml:space="preserve"> art. 32-H, desta Lei</w:t>
      </w:r>
      <w:r>
        <w:rPr>
          <w:sz w:val="24"/>
          <w:szCs w:val="24"/>
        </w:rPr>
        <w:t xml:space="preserve">.</w:t>
      </w:r>
      <w:r/>
    </w:p>
    <w:p>
      <w:pPr>
        <w:pStyle w:val="769"/>
        <w:ind w:left="709" w:right="874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pStyle w:val="769"/>
        <w:ind w:left="709" w:right="874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§ 3º </w:t>
      </w:r>
      <w:r>
        <w:rPr>
          <w:sz w:val="24"/>
          <w:szCs w:val="24"/>
        </w:rPr>
        <w:t xml:space="preserve">Não constitui impedimento de ordem técnica a indevida classificação da despesa</w:t>
      </w:r>
      <w:r/>
    </w:p>
    <w:p>
      <w:pPr>
        <w:pStyle w:val="769"/>
        <w:ind w:left="709" w:right="874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(órgão, programa, ação) ou erros formais que possam ser sanados por meio de </w:t>
      </w:r>
      <w:r>
        <w:rPr>
          <w:sz w:val="24"/>
          <w:szCs w:val="24"/>
        </w:rPr>
        <w:t xml:space="preserve">ato</w:t>
      </w:r>
      <w:r/>
    </w:p>
    <w:p>
      <w:pPr>
        <w:pStyle w:val="769"/>
        <w:ind w:left="709" w:right="874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próprio</w:t>
      </w:r>
      <w:r>
        <w:rPr>
          <w:sz w:val="24"/>
          <w:szCs w:val="24"/>
        </w:rPr>
        <w:t xml:space="preserve"> ou créditos adicionais</w:t>
      </w:r>
      <w:r>
        <w:rPr>
          <w:sz w:val="24"/>
          <w:szCs w:val="24"/>
        </w:rPr>
        <w:t xml:space="preserve">.</w:t>
      </w:r>
      <w:r/>
    </w:p>
    <w:p>
      <w:pPr>
        <w:pStyle w:val="769"/>
        <w:ind w:left="709" w:right="874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pStyle w:val="769"/>
        <w:ind w:left="709" w:right="874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Art. 32-H. </w:t>
      </w:r>
      <w:r>
        <w:rPr>
          <w:sz w:val="24"/>
          <w:szCs w:val="24"/>
        </w:rPr>
        <w:t xml:space="preserve">No caso de impedimento de ordem técnica insuperável no empenho da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despesa que integre a programação, na forma do art</w:t>
      </w:r>
      <w:r>
        <w:rPr>
          <w:sz w:val="24"/>
          <w:szCs w:val="24"/>
        </w:rPr>
        <w:t xml:space="preserve">. 32-G</w:t>
      </w:r>
      <w:r>
        <w:rPr>
          <w:sz w:val="24"/>
          <w:szCs w:val="24"/>
        </w:rPr>
        <w:t xml:space="preserve"> desta Lei, serão adotadas as seguintes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medidas:</w:t>
      </w:r>
      <w:r/>
    </w:p>
    <w:p>
      <w:pPr>
        <w:pStyle w:val="769"/>
        <w:ind w:left="709" w:right="874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pStyle w:val="769"/>
        <w:ind w:left="709" w:right="874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I – o Executivo Municipal enviará notificação ao Legislativo Municipal com as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justifi</w:t>
      </w:r>
      <w:r>
        <w:rPr>
          <w:sz w:val="24"/>
          <w:szCs w:val="24"/>
        </w:rPr>
        <w:t xml:space="preserve">cativas do impedimento em até 90 (noventa</w:t>
      </w:r>
      <w:r>
        <w:rPr>
          <w:sz w:val="24"/>
          <w:szCs w:val="24"/>
        </w:rPr>
        <w:t xml:space="preserve">) dias, contados da data de publicação da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LOA;</w:t>
      </w:r>
      <w:r/>
    </w:p>
    <w:p>
      <w:pPr>
        <w:pStyle w:val="769"/>
        <w:ind w:left="709" w:right="874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II – o Legislativo Municipal indicará ao Executivo Municipal o remanejamento da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programação cujo impedimento seja insuperável em até 30 (trinta) dias, contados do término do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prazo previsto no inc. I deste artigo;</w:t>
      </w:r>
      <w:r/>
    </w:p>
    <w:p>
      <w:pPr>
        <w:pStyle w:val="769"/>
        <w:ind w:left="709" w:right="874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III – o Executivo Municipal encaminhará Projeto de Lei sobre o remanejamento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da programação cujo impedimento seja insuperável em até 30 (trinta) dias, contados do término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do prazo previsto no inc. II deste artigo; </w:t>
      </w:r>
      <w:r>
        <w:rPr>
          <w:sz w:val="24"/>
          <w:szCs w:val="24"/>
        </w:rPr>
        <w:t xml:space="preserve">e</w:t>
      </w:r>
      <w:r/>
    </w:p>
    <w:p>
      <w:pPr>
        <w:pStyle w:val="769"/>
        <w:ind w:left="709" w:right="874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IV – no caso do Legislativo Municipal não deliberar sobre o Projeto, o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remanejamento será </w:t>
      </w:r>
      <w:r>
        <w:rPr>
          <w:sz w:val="24"/>
          <w:szCs w:val="24"/>
        </w:rPr>
        <w:t xml:space="preserve">implementado</w:t>
      </w:r>
      <w:r>
        <w:rPr>
          <w:sz w:val="24"/>
          <w:szCs w:val="24"/>
        </w:rPr>
        <w:t xml:space="preserve"> por ato do Executivo Municipal, nos termos previstos na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LOA, em até 30 (trinta) dias, contados do término do prazo previsto no inc. III deste artigo.</w:t>
      </w:r>
      <w:r/>
    </w:p>
    <w:p>
      <w:pPr>
        <w:pStyle w:val="769"/>
        <w:ind w:left="709" w:right="874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pStyle w:val="769"/>
        <w:ind w:left="709" w:right="874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§ 1º A indicação de remanejamento prevista no inc. II deste artigo deverá ser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realizada pelos respectivos autores das emendas individuais </w:t>
      </w:r>
      <w:r>
        <w:rPr>
          <w:sz w:val="24"/>
          <w:szCs w:val="24"/>
        </w:rPr>
        <w:t xml:space="preserve">e bancada </w:t>
      </w:r>
      <w:r>
        <w:rPr>
          <w:sz w:val="24"/>
          <w:szCs w:val="24"/>
        </w:rPr>
        <w:t xml:space="preserve">e poderá destinar recursos para:</w:t>
      </w:r>
      <w:r/>
    </w:p>
    <w:p>
      <w:pPr>
        <w:pStyle w:val="769"/>
        <w:ind w:left="709" w:right="874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pStyle w:val="769"/>
        <w:ind w:left="709" w:right="874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I – outras </w:t>
      </w:r>
      <w:r>
        <w:rPr>
          <w:sz w:val="24"/>
          <w:szCs w:val="24"/>
        </w:rPr>
        <w:t xml:space="preserve">emendas</w:t>
      </w:r>
      <w:r>
        <w:rPr>
          <w:sz w:val="24"/>
          <w:szCs w:val="24"/>
        </w:rPr>
        <w:t xml:space="preserve"> de sua autoria já constantes na Lei Orçamentária Anual e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tecnicamente viáveis, ou</w:t>
      </w:r>
      <w:r/>
    </w:p>
    <w:p>
      <w:pPr>
        <w:pStyle w:val="769"/>
        <w:ind w:left="709" w:right="874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II – uma única programação constante na Lei Orçamentária, no caso de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impedimento </w:t>
      </w:r>
      <w:r>
        <w:rPr>
          <w:sz w:val="24"/>
          <w:szCs w:val="24"/>
        </w:rPr>
        <w:t xml:space="preserve">total das indicações do autor.</w:t>
      </w:r>
      <w:r/>
    </w:p>
    <w:p>
      <w:pPr>
        <w:pStyle w:val="769"/>
        <w:ind w:left="709" w:right="874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pStyle w:val="769"/>
        <w:ind w:left="709" w:right="874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§ 2º Findado o prazo previsto no inc. IV do caput deste artigo, as programações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previstas nas emendas individuais </w:t>
      </w:r>
      <w:r>
        <w:rPr>
          <w:sz w:val="24"/>
          <w:szCs w:val="24"/>
        </w:rPr>
        <w:t xml:space="preserve">e bancada </w:t>
      </w:r>
      <w:r>
        <w:rPr>
          <w:sz w:val="24"/>
          <w:szCs w:val="24"/>
        </w:rPr>
        <w:t xml:space="preserve">nos casos dos impedimentos justificados na notificação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prevista no inc.</w:t>
      </w:r>
      <w:r>
        <w:rPr>
          <w:sz w:val="24"/>
          <w:szCs w:val="24"/>
        </w:rPr>
        <w:t xml:space="preserve"> I deste artigo não serão de execução obrigatória.</w:t>
      </w:r>
      <w:r/>
    </w:p>
    <w:p>
      <w:pPr>
        <w:pStyle w:val="769"/>
        <w:ind w:left="709" w:right="874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pStyle w:val="769"/>
        <w:ind w:left="709" w:right="874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Art. 32-I. </w:t>
      </w:r>
      <w:r>
        <w:rPr>
          <w:sz w:val="24"/>
          <w:szCs w:val="24"/>
        </w:rPr>
        <w:t xml:space="preserve">As emend</w:t>
      </w:r>
      <w:r>
        <w:rPr>
          <w:sz w:val="24"/>
          <w:szCs w:val="24"/>
        </w:rPr>
        <w:t xml:space="preserve">as impositivas previstas no caput do art. 100-A da LOM </w:t>
      </w:r>
      <w:r>
        <w:rPr>
          <w:sz w:val="24"/>
          <w:szCs w:val="24"/>
        </w:rPr>
        <w:t xml:space="preserve">deverão ter frações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igualitárias entre os parlamentares. </w:t>
      </w:r>
      <w:r>
        <w:rPr>
          <w:sz w:val="24"/>
          <w:szCs w:val="24"/>
        </w:rPr>
        <w:br/>
      </w:r>
      <w:r/>
    </w:p>
    <w:p>
      <w:pPr>
        <w:pStyle w:val="769"/>
        <w:ind w:left="709" w:right="874"/>
        <w:jc w:val="both"/>
        <w:tabs>
          <w:tab w:val="left" w:pos="709" w:leader="none"/>
        </w:tabs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Art. 32-J. </w:t>
      </w:r>
      <w:r>
        <w:rPr>
          <w:sz w:val="24"/>
          <w:szCs w:val="24"/>
        </w:rPr>
        <w:t xml:space="preserve">As emend</w:t>
      </w:r>
      <w:r>
        <w:rPr>
          <w:sz w:val="24"/>
          <w:szCs w:val="24"/>
        </w:rPr>
        <w:t xml:space="preserve">as impositivas previstas no § 3º do art. 100-A da LOM </w:t>
      </w:r>
      <w:r>
        <w:rPr>
          <w:sz w:val="24"/>
          <w:szCs w:val="24"/>
        </w:rPr>
        <w:t xml:space="preserve">deverão ter frações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igu</w:t>
      </w:r>
      <w:r>
        <w:rPr>
          <w:sz w:val="24"/>
          <w:szCs w:val="24"/>
        </w:rPr>
        <w:t xml:space="preserve">alitárias entre as bancadas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”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 </w:t>
      </w:r>
      <w:r/>
    </w:p>
    <w:p>
      <w:pPr>
        <w:pStyle w:val="769"/>
        <w:ind w:left="709" w:right="874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69"/>
        <w:ind w:left="709" w:right="874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69"/>
        <w:ind w:left="709" w:right="874"/>
        <w:jc w:val="center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Style w:val="769"/>
        <w:ind w:left="709" w:right="874"/>
        <w:jc w:val="center"/>
        <w:tabs>
          <w:tab w:val="left" w:pos="709" w:leader="none"/>
        </w:tabs>
        <w:rPr>
          <w:sz w:val="24"/>
          <w:szCs w:val="24"/>
          <w:highlight w:val="none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Style w:val="769"/>
        <w:ind w:left="709" w:right="874"/>
        <w:jc w:val="center"/>
        <w:tabs>
          <w:tab w:val="left" w:pos="709" w:leader="none"/>
        </w:tabs>
        <w:rPr>
          <w:sz w:val="24"/>
          <w:szCs w:val="24"/>
          <w:highlight w:val="none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Style w:val="769"/>
        <w:ind w:left="709" w:right="874"/>
        <w:jc w:val="center"/>
        <w:tabs>
          <w:tab w:val="left" w:pos="709" w:leader="none"/>
        </w:tabs>
        <w:rPr>
          <w:sz w:val="24"/>
          <w:szCs w:val="24"/>
          <w:highlight w:val="none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Style w:val="769"/>
        <w:ind w:left="709" w:right="874"/>
        <w:jc w:val="center"/>
        <w:tabs>
          <w:tab w:val="left" w:pos="709" w:leader="none"/>
        </w:tabs>
        <w:rPr>
          <w:sz w:val="24"/>
          <w:szCs w:val="24"/>
          <w:highlight w:val="none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Style w:val="769"/>
        <w:ind w:left="709" w:right="874"/>
        <w:jc w:val="center"/>
        <w:tabs>
          <w:tab w:val="left" w:pos="709" w:leader="none"/>
        </w:tabs>
        <w:rPr>
          <w:sz w:val="24"/>
          <w:szCs w:val="24"/>
          <w:highlight w:val="none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Style w:val="769"/>
        <w:ind w:left="709" w:right="874"/>
        <w:jc w:val="center"/>
        <w:tabs>
          <w:tab w:val="left" w:pos="709" w:leader="none"/>
        </w:tabs>
        <w:rPr>
          <w:sz w:val="24"/>
          <w:szCs w:val="24"/>
          <w:highlight w:val="none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Style w:val="769"/>
        <w:ind w:left="709" w:right="874"/>
        <w:jc w:val="center"/>
        <w:tabs>
          <w:tab w:val="left" w:pos="709" w:leader="none"/>
        </w:tabs>
        <w:rPr>
          <w:sz w:val="24"/>
          <w:szCs w:val="24"/>
          <w:highlight w:val="none"/>
        </w:rPr>
      </w:pPr>
      <w:r>
        <w:rPr>
          <w:sz w:val="24"/>
          <w:szCs w:val="24"/>
          <w:highlight w:val="none"/>
        </w:rPr>
        <w:t xml:space="preserve">JARDEL SOUZA DE OLIVEIRA</w:t>
      </w:r>
      <w:r>
        <w:rPr>
          <w:sz w:val="24"/>
          <w:szCs w:val="24"/>
          <w:highlight w:val="none"/>
        </w:rPr>
      </w:r>
    </w:p>
    <w:p>
      <w:pPr>
        <w:pStyle w:val="769"/>
        <w:ind w:left="709" w:right="874"/>
        <w:jc w:val="center"/>
        <w:tabs>
          <w:tab w:val="left" w:pos="709" w:leader="none"/>
        </w:tabs>
        <w:rPr>
          <w:sz w:val="24"/>
          <w:szCs w:val="24"/>
          <w:highlight w:val="none"/>
        </w:rPr>
      </w:pPr>
      <w:r>
        <w:rPr>
          <w:sz w:val="24"/>
          <w:szCs w:val="24"/>
          <w:highlight w:val="none"/>
        </w:rPr>
        <w:t xml:space="preserve">Vereador </w:t>
      </w:r>
      <w:r>
        <w:rPr>
          <w:rFonts w:ascii="Arial" w:hAnsi="Arial" w:cs="Arial"/>
          <w:sz w:val="24"/>
          <w:szCs w:val="24"/>
        </w:rPr>
        <w:t xml:space="preserve">|</w:t>
      </w:r>
      <w:r/>
      <w:r>
        <w:rPr>
          <w:sz w:val="24"/>
          <w:szCs w:val="24"/>
          <w:highlight w:val="none"/>
        </w:rPr>
        <w:t xml:space="preserve"> Bancada PSDB</w:t>
      </w:r>
      <w:r>
        <w:rPr>
          <w:sz w:val="24"/>
          <w:szCs w:val="24"/>
          <w:highlight w:val="none"/>
        </w:rPr>
      </w:r>
    </w:p>
    <w:p>
      <w:pPr>
        <w:pStyle w:val="769"/>
        <w:ind w:left="709" w:right="874"/>
        <w:jc w:val="both"/>
        <w:tabs>
          <w:tab w:val="left" w:pos="709" w:leader="none"/>
        </w:tabs>
        <w:rPr>
          <w:b/>
        </w:rPr>
      </w:pPr>
      <w:r>
        <w:rPr>
          <w:b/>
        </w:rPr>
      </w:r>
      <w:r/>
    </w:p>
    <w:p>
      <w:pPr>
        <w:pStyle w:val="769"/>
        <w:ind w:left="709" w:right="874"/>
        <w:jc w:val="both"/>
        <w:tabs>
          <w:tab w:val="left" w:pos="709" w:leader="none"/>
        </w:tabs>
        <w:rPr>
          <w:b/>
        </w:rPr>
      </w:pPr>
      <w:r>
        <w:rPr>
          <w:b/>
        </w:rPr>
      </w:r>
      <w:r/>
    </w:p>
    <w:p>
      <w:pPr>
        <w:pStyle w:val="769"/>
        <w:ind w:left="709" w:right="874"/>
        <w:jc w:val="both"/>
        <w:tabs>
          <w:tab w:val="left" w:pos="709" w:leader="none"/>
        </w:tabs>
        <w:rPr>
          <w:b/>
        </w:rPr>
      </w:pPr>
      <w:r>
        <w:rPr>
          <w:b/>
        </w:rPr>
      </w:r>
      <w:r/>
    </w:p>
    <w:p>
      <w:pPr>
        <w:pStyle w:val="769"/>
        <w:ind w:left="709" w:right="874"/>
        <w:jc w:val="both"/>
        <w:tabs>
          <w:tab w:val="left" w:pos="709" w:leader="none"/>
        </w:tabs>
        <w:rPr>
          <w:b/>
          <w:color w:val="ff0000"/>
        </w:rPr>
      </w:pPr>
      <w:r>
        <w:rPr>
          <w:b/>
          <w:color w:val="ff0000"/>
        </w:rPr>
      </w:r>
      <w:r/>
    </w:p>
    <w:p>
      <w:pPr>
        <w:pStyle w:val="769"/>
        <w:ind w:left="709"/>
        <w:jc w:val="both"/>
        <w:tabs>
          <w:tab w:val="left" w:pos="709" w:leader="none"/>
        </w:tabs>
        <w:rPr>
          <w:b/>
          <w:color w:val="ff0000"/>
        </w:rPr>
      </w:pPr>
      <w:r>
        <w:rPr>
          <w:b/>
          <w:color w:val="ff0000"/>
        </w:rPr>
      </w:r>
      <w:r/>
    </w:p>
    <w:p>
      <w:pPr>
        <w:pStyle w:val="769"/>
        <w:ind w:left="709"/>
        <w:jc w:val="both"/>
        <w:tabs>
          <w:tab w:val="left" w:pos="709" w:leader="none"/>
        </w:tabs>
        <w:rPr>
          <w:b/>
        </w:rPr>
      </w:pPr>
      <w:r>
        <w:rPr>
          <w:b/>
        </w:rPr>
      </w:r>
      <w:r/>
    </w:p>
    <w:p>
      <w:pPr>
        <w:pStyle w:val="767"/>
        <w:ind w:left="709"/>
        <w:tabs>
          <w:tab w:val="left" w:pos="709" w:leader="none"/>
        </w:tabs>
        <w:rPr>
          <w:rFonts w:ascii="Arial"/>
          <w:b/>
          <w:color w:val="ff0000"/>
        </w:rPr>
      </w:pPr>
      <w:r>
        <w:rPr>
          <w:rFonts w:ascii="Arial"/>
          <w:b/>
          <w:color w:val="ff0000"/>
        </w:rPr>
      </w:r>
      <w:r/>
    </w:p>
    <w:p>
      <w:pPr>
        <w:pStyle w:val="767"/>
        <w:rPr>
          <w:rFonts w:ascii="Arial"/>
          <w:b/>
        </w:rPr>
      </w:pPr>
      <w:r>
        <w:rPr>
          <w:rFonts w:ascii="Arial"/>
          <w:b/>
        </w:rPr>
      </w:r>
      <w:r/>
    </w:p>
    <w:p>
      <w:r/>
      <w:r/>
    </w:p>
    <w:sectPr>
      <w:headerReference w:type="default" r:id="rId9"/>
      <w:footerReference w:type="default" r:id="rId10"/>
      <w:footnotePr/>
      <w:endnotePr/>
      <w:type w:val="nextPage"/>
      <w:pgSz w:w="11900" w:h="16840" w:orient="portrait"/>
      <w:pgMar w:top="1880" w:right="260" w:bottom="900" w:left="560" w:header="703" w:footer="711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ill Sans MT Shadow">
    <w:panose1 w:val="02000603000000000000"/>
  </w:font>
  <w:font w:name="Arial MT">
    <w:panose1 w:val="020B060402020202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7"/>
      <w:spacing w:line="14" w:lineRule="auto"/>
      <w:rPr>
        <w:sz w:val="20"/>
      </w:rPr>
    </w:pPr>
    <w:r>
      <w:rPr>
        <w:lang w:val="pt-BR" w:eastAsia="pt-BR"/>
      </w:rPr>
    </w:r>
    <w:r>
      <w:rPr>
        <w:lang w:val="pt-BR" w:eastAsia="pt-BR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294447104" behindDoc="1" locked="0" layoutInCell="1" allowOverlap="1">
              <wp:simplePos x="0" y="0"/>
              <wp:positionH relativeFrom="page">
                <wp:posOffset>1778000</wp:posOffset>
              </wp:positionH>
              <wp:positionV relativeFrom="page">
                <wp:posOffset>10234930</wp:posOffset>
              </wp:positionV>
              <wp:extent cx="4541520" cy="171450"/>
              <wp:effectExtent l="0" t="0" r="0" b="0"/>
              <wp:wrapNone/>
              <wp:docPr id="4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4541520" cy="171450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miter/>
                      </a:ln>
                    </wps:spPr>
                    <wps:txbx>
                      <w:txbxContent>
                        <w:p>
                          <w:pPr>
                            <w:pStyle w:val="770"/>
                            <w:jc w:val="center"/>
                          </w:pPr>
                          <w:r>
                            <w:rPr>
                              <w:b/>
                            </w:rPr>
                            <w:t xml:space="preserve">“DOE SANGUE, DOE ÓRGÃOS, SALVE UMA VIDA! ”</w:t>
                          </w:r>
                          <w:r/>
                        </w:p>
                        <w:p>
                          <w:r/>
                          <w:r/>
                        </w:p>
                      </w:txbxContent>
                    </wps:txbx>
                    <wps:bodyPr wrap="square" upright="1"/>
                  </wps:wsp>
                </a:graphicData>
              </a:graphic>
            </wp:anchor>
          </w:drawing>
        </mc:Choice>
        <mc:Fallback>
          <w:pict>
            <v:shape id="shape 3" o:spid="_x0000_s3" o:spt="1" type="#_x0000_t1" style="position:absolute;z-index:-4294447104;o:allowoverlap:true;o:allowincell:true;mso-position-horizontal-relative:page;margin-left:140.0pt;mso-position-horizontal:absolute;mso-position-vertical-relative:page;margin-top:805.9pt;mso-position-vertical:absolute;width:357.6pt;height:13.5pt;mso-wrap-distance-left:9.0pt;mso-wrap-distance-top:0.0pt;mso-wrap-distance-right:9.0pt;mso-wrap-distance-bottom:0.0pt;visibility:visible;" filled="f" stroked="f">
              <v:textbox inset="0,0,0,0">
                <w:txbxContent>
                  <w:p>
                    <w:pPr>
                      <w:pStyle w:val="770"/>
                      <w:jc w:val="center"/>
                    </w:pPr>
                    <w:r>
                      <w:rPr>
                        <w:b/>
                      </w:rPr>
                      <w:t xml:space="preserve">“DOE SANGUE, DOE ÓRGÃOS, SALVE UMA VIDA! ”</w:t>
                    </w:r>
                    <w:r/>
                  </w:p>
                  <w:p>
                    <w:r/>
                    <w:r/>
                  </w:p>
                </w:txbxContent>
              </v:textbox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294451200" behindDoc="1" locked="0" layoutInCell="1" allowOverlap="1">
              <wp:simplePos x="0" y="0"/>
              <wp:positionH relativeFrom="page">
                <wp:posOffset>718820</wp:posOffset>
              </wp:positionH>
              <wp:positionV relativeFrom="page">
                <wp:posOffset>10068560</wp:posOffset>
              </wp:positionV>
              <wp:extent cx="6357620" cy="0"/>
              <wp:effectExtent l="0" t="0" r="0" b="0"/>
              <wp:wrapNone/>
              <wp:docPr id="5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6357620" cy="0"/>
                      </a:xfrm>
                      <a:prstGeom prst="line">
                        <a:avLst/>
                      </a:prstGeom>
                      <a:noFill/>
                      <a:ln w="7620">
                        <a:solidFill>
                          <a:srgbClr val="000000"/>
                        </a:solidFill>
                        <a:round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id="shape 4" o:spid="_x0000_s4" style="position:absolute;left:0;text-align:left;z-index:-4294451200;mso-wrap-distance-left:9.0pt;mso-wrap-distance-top:0.0pt;mso-wrap-distance-right:9.0pt;mso-wrap-distance-bottom:0.0pt;visibility:visible;" from="56.6pt,792.8pt" to="557.2pt,792.8pt" filled="f" strokecolor="#000000" strokeweight="0.60pt"/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294450176" behindDoc="1" locked="0" layoutInCell="1" allowOverlap="1">
              <wp:simplePos x="0" y="0"/>
              <wp:positionH relativeFrom="page">
                <wp:posOffset>6869430</wp:posOffset>
              </wp:positionH>
              <wp:positionV relativeFrom="page">
                <wp:posOffset>10063480</wp:posOffset>
              </wp:positionV>
              <wp:extent cx="246380" cy="201930"/>
              <wp:effectExtent l="0" t="0" r="0" b="0"/>
              <wp:wrapNone/>
              <wp:docPr id="6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246379" cy="201930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miter/>
                      </a:ln>
                    </wps:spPr>
                    <wps:txbx>
                      <w:txbxContent>
                        <w:p>
                          <w:pPr>
                            <w:ind w:left="60"/>
                            <w:spacing w:before="20"/>
                            <w:rPr>
                              <w:sz w:val="24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24"/>
                            </w:rPr>
                            <w:t xml:space="preserve">4</w:t>
                          </w:r>
                          <w:r>
                            <w:fldChar w:fldCharType="end"/>
                          </w:r>
                          <w:r/>
                        </w:p>
                      </w:txbxContent>
                    </wps:txbx>
                    <wps:bodyPr wrap="square" upright="1"/>
                  </wps:wsp>
                </a:graphicData>
              </a:graphic>
            </wp:anchor>
          </w:drawing>
        </mc:Choice>
        <mc:Fallback>
          <w:pict>
            <v:shape id="shape 5" o:spid="_x0000_s5" o:spt="1" type="#_x0000_t1" style="position:absolute;z-index:-4294450176;o:allowoverlap:true;o:allowincell:true;mso-position-horizontal-relative:page;margin-left:540.9pt;mso-position-horizontal:absolute;mso-position-vertical-relative:page;margin-top:792.4pt;mso-position-vertical:absolute;width:19.4pt;height:15.9pt;mso-wrap-distance-left:9.0pt;mso-wrap-distance-top:0.0pt;mso-wrap-distance-right:9.0pt;mso-wrap-distance-bottom:0.0pt;visibility:visible;" filled="f" stroked="f">
              <v:textbox inset="0,0,0,0">
                <w:txbxContent>
                  <w:p>
                    <w:pPr>
                      <w:ind w:left="60"/>
                      <w:spacing w:before="20"/>
                      <w:rPr>
                        <w:sz w:val="24"/>
                      </w:rPr>
                    </w:pPr>
                    <w:r>
                      <w:fldChar w:fldCharType="begin"/>
                    </w:r>
                    <w:r>
                      <w:rPr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sz w:val="24"/>
                      </w:rPr>
                      <w:t xml:space="preserve">4</w:t>
                    </w:r>
                    <w:r>
                      <w:fldChar w:fldCharType="end"/>
                    </w:r>
                    <w:r/>
                  </w:p>
                </w:txbxContent>
              </v:textbox>
            </v:shape>
          </w:pict>
        </mc:Fallback>
      </mc:AlternateConten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7"/>
      <w:jc w:val="center"/>
      <w:spacing w:line="14" w:lineRule="auto"/>
      <w:rPr>
        <w:sz w:val="20"/>
      </w:rPr>
    </w:pPr>
    <w:r>
      <w:rPr>
        <w:sz w:val="20"/>
        <w:lang w:val="pt-BR" w:eastAsia="pt-BR"/>
      </w:rPr>
    </w:r>
    <w:r>
      <w:rPr>
        <w:sz w:val="20"/>
        <w:lang w:val="pt-BR"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52475"/>
              <wp:effectExtent l="0" t="0" r="0" b="0"/>
              <wp:docPr id="1" name="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7524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9.2pt;mso-wrap-distance-left:0.0pt;mso-wrap-distance-top:0.0pt;mso-wrap-distance-right:0.0pt;mso-wrap-distance-bottom:0.0pt;" stroked="f">
              <v:path textboxrect="0,0,0,0"/>
              <v:imagedata r:id="rId1" o:title=""/>
            </v:shape>
          </w:pict>
        </mc:Fallback>
      </mc:AlternateContent>
    </w:r>
    <w:r/>
  </w:p>
  <w:p>
    <w:pPr>
      <w:jc w:val="center"/>
      <w:rPr>
        <w:rFonts w:ascii="Gill Sans MT Shadow" w:hAnsi="Gill Sans MT Shadow"/>
        <w:sz w:val="24"/>
      </w:rPr>
    </w:pPr>
    <w:r>
      <w:rPr>
        <w:rFonts w:ascii="Gill Sans MT Shadow" w:hAnsi="Gill Sans MT Shadow"/>
        <w:sz w:val="24"/>
      </w:rPr>
      <w:t xml:space="preserve">CÂMARA MUNICIPAL DE CANGUÇU</w:t>
    </w:r>
    <w:r/>
  </w:p>
  <w:p>
    <w:pPr>
      <w:jc w:val="center"/>
    </w:pPr>
    <w:r>
      <w:t xml:space="preserve">ESTADO DO RIO</w:t>
    </w:r>
    <w:r>
      <w:t xml:space="preserve"> GRANDE DO SU</w: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294448128" behindDoc="1" locked="0" layoutInCell="1" allowOverlap="1">
              <wp:simplePos x="0" y="0"/>
              <wp:positionH relativeFrom="page">
                <wp:posOffset>2274570</wp:posOffset>
              </wp:positionH>
              <wp:positionV relativeFrom="page">
                <wp:posOffset>433070</wp:posOffset>
              </wp:positionV>
              <wp:extent cx="754380" cy="742950"/>
              <wp:effectExtent l="0" t="0" r="0" b="0"/>
              <wp:wrapNone/>
              <wp:docPr id="2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754379" cy="742950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miter/>
                      </a:ln>
                    </wps:spPr>
                    <wps:txbx>
                      <w:txbxContent>
                        <w:p>
                          <w:pPr>
                            <w:jc w:val="center"/>
                          </w:pPr>
                          <w:r/>
                          <w:r/>
                        </w:p>
                      </w:txbxContent>
                    </wps:txbx>
                    <wps:bodyPr wrap="square" upright="1"/>
                  </wps:wsp>
                </a:graphicData>
              </a:graphic>
            </wp:anchor>
          </w:drawing>
        </mc:Choice>
        <mc:Fallback>
          <w:pict>
            <v:shape id="shape 1" o:spid="_x0000_s1" o:spt="1" type="#_x0000_t1" style="position:absolute;z-index:-4294448128;o:allowoverlap:true;o:allowincell:true;mso-position-horizontal-relative:page;margin-left:179.1pt;mso-position-horizontal:absolute;mso-position-vertical-relative:page;margin-top:34.1pt;mso-position-vertical:absolute;width:59.4pt;height:58.5pt;mso-wrap-distance-left:9.0pt;mso-wrap-distance-top:0.0pt;mso-wrap-distance-right:9.0pt;mso-wrap-distance-bottom:0.0pt;visibility:visible;" filled="f" stroked="f">
              <v:textbox inset="0,0,0,0">
                <w:txbxContent>
                  <w:p>
                    <w:pPr>
                      <w:jc w:val="center"/>
                    </w:pPr>
                    <w:r/>
                    <w:r/>
                  </w:p>
                </w:txbxContent>
              </v:textbox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294449152" behindDoc="1" locked="0" layoutInCell="1" allowOverlap="1">
              <wp:simplePos x="0" y="0"/>
              <wp:positionH relativeFrom="page">
                <wp:posOffset>929640</wp:posOffset>
              </wp:positionH>
              <wp:positionV relativeFrom="page">
                <wp:posOffset>783590</wp:posOffset>
              </wp:positionV>
              <wp:extent cx="509270" cy="351790"/>
              <wp:effectExtent l="0" t="0" r="0" b="0"/>
              <wp:wrapNone/>
              <wp:docPr id="3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09270" cy="351790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miter/>
                      </a:ln>
                    </wps:spPr>
                    <wps:txbx>
                      <w:txbxContent>
                        <w:p>
                          <w:pPr>
                            <w:rPr>
                              <w:sz w:val="24"/>
                              <w:lang w:val="pt-BR"/>
                            </w:rPr>
                          </w:pPr>
                          <w:r>
                            <w:rPr>
                              <w:sz w:val="24"/>
                              <w:lang w:val="pt-BR"/>
                            </w:rPr>
                          </w:r>
                          <w:r/>
                        </w:p>
                      </w:txbxContent>
                    </wps:txbx>
                    <wps:bodyPr wrap="square" upright="1"/>
                  </wps:wsp>
                </a:graphicData>
              </a:graphic>
            </wp:anchor>
          </w:drawing>
        </mc:Choice>
        <mc:Fallback>
          <w:pict>
            <v:shape id="shape 2" o:spid="_x0000_s2" o:spt="1" type="#_x0000_t1" style="position:absolute;z-index:-4294449152;o:allowoverlap:true;o:allowincell:true;mso-position-horizontal-relative:page;margin-left:73.2pt;mso-position-horizontal:absolute;mso-position-vertical-relative:page;margin-top:61.7pt;mso-position-vertical:absolute;width:40.1pt;height:27.7pt;mso-wrap-distance-left:9.0pt;mso-wrap-distance-top:0.0pt;mso-wrap-distance-right:9.0pt;mso-wrap-distance-bottom:0.0pt;visibility:visible;" filled="f" stroked="f">
              <v:textbox inset="0,0,0,0">
                <w:txbxContent>
                  <w:p>
                    <w:pPr>
                      <w:rPr>
                        <w:sz w:val="24"/>
                        <w:lang w:val="pt-BR"/>
                      </w:rPr>
                    </w:pPr>
                    <w:r>
                      <w:rPr>
                        <w:sz w:val="24"/>
                        <w:lang w:val="pt-BR"/>
                      </w:rPr>
                    </w:r>
                    <w:r/>
                  </w:p>
                </w:txbxContent>
              </v:textbox>
            </v:shape>
          </w:pict>
        </mc:Fallback>
      </mc:AlternateContent>
    </w:r>
    <w:r>
      <w:t xml:space="preserve">L</w:t>
    </w:r>
    <w:r/>
  </w:p>
  <w:p>
    <w:pPr>
      <w:pStyle w:val="767"/>
      <w:jc w:val="center"/>
      <w:spacing w:line="14" w:lineRule="auto"/>
      <w:rPr>
        <w:sz w:val="20"/>
      </w:rPr>
    </w:pPr>
    <w:r>
      <w:rPr>
        <w:sz w:val="20"/>
      </w:rPr>
    </w:r>
    <w:r/>
  </w:p>
  <w:p>
    <w:pPr>
      <w:pStyle w:val="767"/>
      <w:jc w:val="center"/>
      <w:spacing w:line="14" w:lineRule="auto"/>
      <w:rPr>
        <w:sz w:val="20"/>
      </w:rPr>
    </w:pPr>
    <w:r>
      <w:rPr>
        <w:sz w:val="20"/>
      </w:rPr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4">
    <w:name w:val="Heading 2"/>
    <w:basedOn w:val="762"/>
    <w:next w:val="762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763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762"/>
    <w:next w:val="762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763"/>
    <w:link w:val="16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762"/>
    <w:next w:val="762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763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762"/>
    <w:next w:val="762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763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762"/>
    <w:next w:val="762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763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762"/>
    <w:next w:val="762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763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762"/>
    <w:next w:val="762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763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762"/>
    <w:next w:val="762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763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0">
    <w:name w:val="List Paragraph"/>
    <w:basedOn w:val="762"/>
    <w:uiPriority w:val="34"/>
    <w:qFormat/>
    <w:pPr>
      <w:contextualSpacing/>
      <w:ind w:left="720"/>
    </w:pPr>
  </w:style>
  <w:style w:type="paragraph" w:styleId="32">
    <w:name w:val="No Spacing"/>
    <w:uiPriority w:val="1"/>
    <w:qFormat/>
    <w:pPr>
      <w:spacing w:before="0" w:after="0" w:line="240" w:lineRule="auto"/>
    </w:pPr>
  </w:style>
  <w:style w:type="paragraph" w:styleId="33">
    <w:name w:val="Title"/>
    <w:basedOn w:val="762"/>
    <w:next w:val="762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763"/>
    <w:link w:val="33"/>
    <w:uiPriority w:val="10"/>
    <w:rPr>
      <w:sz w:val="48"/>
      <w:szCs w:val="48"/>
    </w:rPr>
  </w:style>
  <w:style w:type="paragraph" w:styleId="35">
    <w:name w:val="Subtitle"/>
    <w:basedOn w:val="762"/>
    <w:next w:val="762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763"/>
    <w:link w:val="35"/>
    <w:uiPriority w:val="11"/>
    <w:rPr>
      <w:sz w:val="24"/>
      <w:szCs w:val="24"/>
    </w:rPr>
  </w:style>
  <w:style w:type="paragraph" w:styleId="37">
    <w:name w:val="Quote"/>
    <w:basedOn w:val="762"/>
    <w:next w:val="762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762"/>
    <w:next w:val="762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paragraph" w:styleId="41">
    <w:name w:val="Header"/>
    <w:basedOn w:val="762"/>
    <w:link w:val="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2">
    <w:name w:val="Header Char"/>
    <w:basedOn w:val="763"/>
    <w:link w:val="41"/>
    <w:uiPriority w:val="99"/>
  </w:style>
  <w:style w:type="character" w:styleId="44">
    <w:name w:val="Footer Char"/>
    <w:basedOn w:val="763"/>
    <w:link w:val="770"/>
    <w:uiPriority w:val="99"/>
  </w:style>
  <w:style w:type="paragraph" w:styleId="45">
    <w:name w:val="Caption"/>
    <w:basedOn w:val="762"/>
    <w:next w:val="76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770"/>
    <w:uiPriority w:val="99"/>
  </w:style>
  <w:style w:type="table" w:styleId="47">
    <w:name w:val="Table Grid"/>
    <w:basedOn w:val="76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76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76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76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7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7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7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7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7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7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7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7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7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7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7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7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7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7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7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7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7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7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7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7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7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7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7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7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7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7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7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7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7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7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7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7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7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7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7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7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7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7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7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7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7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7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7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7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7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7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7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7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7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7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7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7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7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7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7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7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7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7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7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7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7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7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7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7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7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7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7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7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7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7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7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7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7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7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7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7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7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7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7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7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7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7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7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7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7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7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7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7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7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7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7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7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7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7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7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7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7">
    <w:name w:val="List Table 7 Colorful - Accent 2"/>
    <w:basedOn w:val="7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8">
    <w:name w:val="List Table 7 Colorful - Accent 3"/>
    <w:basedOn w:val="7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9">
    <w:name w:val="List Table 7 Colorful - Accent 4"/>
    <w:basedOn w:val="7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0">
    <w:name w:val="List Table 7 Colorful - Accent 5"/>
    <w:basedOn w:val="7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1">
    <w:name w:val="List Table 7 Colorful - Accent 6"/>
    <w:basedOn w:val="7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2">
    <w:name w:val="Lined - Accent"/>
    <w:basedOn w:val="7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7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4">
    <w:name w:val="Lined - Accent 2"/>
    <w:basedOn w:val="7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5">
    <w:name w:val="Lined - Accent 3"/>
    <w:basedOn w:val="7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6">
    <w:name w:val="Lined - Accent 4"/>
    <w:basedOn w:val="7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7">
    <w:name w:val="Lined - Accent 5"/>
    <w:basedOn w:val="7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8">
    <w:name w:val="Lined - Accent 6"/>
    <w:basedOn w:val="7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9">
    <w:name w:val="Bordered &amp; Lined - Accent"/>
    <w:basedOn w:val="7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7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1">
    <w:name w:val="Bordered &amp; Lined - Accent 2"/>
    <w:basedOn w:val="7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2">
    <w:name w:val="Bordered &amp; Lined - Accent 3"/>
    <w:basedOn w:val="7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3">
    <w:name w:val="Bordered &amp; Lined - Accent 4"/>
    <w:basedOn w:val="7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4">
    <w:name w:val="Bordered &amp; Lined - Accent 5"/>
    <w:basedOn w:val="7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5">
    <w:name w:val="Bordered &amp; Lined - Accent 6"/>
    <w:basedOn w:val="7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6">
    <w:name w:val="Bordered"/>
    <w:basedOn w:val="7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7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7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7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7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7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7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3">
    <w:name w:val="Hyperlink"/>
    <w:uiPriority w:val="99"/>
    <w:unhideWhenUsed/>
    <w:rPr>
      <w:color w:val="0000ff" w:themeColor="hyperlink"/>
      <w:u w:val="single"/>
    </w:rPr>
  </w:style>
  <w:style w:type="paragraph" w:styleId="174">
    <w:name w:val="footnote text"/>
    <w:basedOn w:val="762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763"/>
    <w:uiPriority w:val="99"/>
    <w:unhideWhenUsed/>
    <w:rPr>
      <w:vertAlign w:val="superscript"/>
    </w:rPr>
  </w:style>
  <w:style w:type="paragraph" w:styleId="177">
    <w:name w:val="endnote text"/>
    <w:basedOn w:val="762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763"/>
    <w:uiPriority w:val="99"/>
    <w:semiHidden/>
    <w:unhideWhenUsed/>
    <w:rPr>
      <w:vertAlign w:val="superscript"/>
    </w:rPr>
  </w:style>
  <w:style w:type="paragraph" w:styleId="180">
    <w:name w:val="toc 1"/>
    <w:basedOn w:val="762"/>
    <w:next w:val="762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762"/>
    <w:next w:val="762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762"/>
    <w:next w:val="762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762"/>
    <w:next w:val="762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762"/>
    <w:next w:val="762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762"/>
    <w:next w:val="762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762"/>
    <w:next w:val="762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762"/>
    <w:next w:val="762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762"/>
    <w:next w:val="762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762"/>
    <w:next w:val="762"/>
    <w:uiPriority w:val="99"/>
    <w:unhideWhenUsed/>
    <w:pPr>
      <w:spacing w:after="0" w:afterAutospacing="0"/>
    </w:pPr>
  </w:style>
  <w:style w:type="paragraph" w:styleId="762" w:default="1">
    <w:name w:val="Normal"/>
    <w:uiPriority w:val="1"/>
    <w:qFormat/>
    <w:pPr>
      <w:spacing w:after="0" w:line="240" w:lineRule="auto"/>
      <w:widowControl w:val="off"/>
    </w:pPr>
    <w:rPr>
      <w:rFonts w:ascii="Arial MT" w:hAnsi="Arial MT" w:eastAsia="Arial MT" w:cs="Arial MT"/>
      <w:lang w:val="pt-PT"/>
    </w:rPr>
  </w:style>
  <w:style w:type="character" w:styleId="763" w:default="1">
    <w:name w:val="Default Paragraph Font"/>
    <w:uiPriority w:val="1"/>
    <w:semiHidden/>
    <w:unhideWhenUsed/>
  </w:style>
  <w:style w:type="table" w:styleId="764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65" w:default="1">
    <w:name w:val="No List"/>
    <w:uiPriority w:val="99"/>
    <w:semiHidden/>
    <w:unhideWhenUsed/>
  </w:style>
  <w:style w:type="character" w:styleId="766" w:customStyle="1">
    <w:name w:val="Heading 1 Char"/>
    <w:basedOn w:val="763"/>
    <w:link w:val="769"/>
    <w:uiPriority w:val="9"/>
    <w:rPr>
      <w:rFonts w:ascii="Arial" w:hAnsi="Arial" w:eastAsia="Arial" w:cs="Arial"/>
      <w:sz w:val="40"/>
      <w:szCs w:val="40"/>
    </w:rPr>
  </w:style>
  <w:style w:type="paragraph" w:styleId="767">
    <w:name w:val="Body Text"/>
    <w:basedOn w:val="762"/>
    <w:link w:val="768"/>
    <w:uiPriority w:val="1"/>
    <w:qFormat/>
  </w:style>
  <w:style w:type="character" w:styleId="768" w:customStyle="1">
    <w:name w:val="Corpo de texto Char"/>
    <w:basedOn w:val="763"/>
    <w:link w:val="767"/>
    <w:uiPriority w:val="1"/>
    <w:rPr>
      <w:rFonts w:ascii="Arial MT" w:hAnsi="Arial MT" w:eastAsia="Arial MT" w:cs="Arial MT"/>
      <w:lang w:val="pt-PT"/>
    </w:rPr>
  </w:style>
  <w:style w:type="paragraph" w:styleId="769" w:customStyle="1">
    <w:name w:val="Heading 1"/>
    <w:basedOn w:val="762"/>
    <w:link w:val="766"/>
    <w:uiPriority w:val="9"/>
    <w:qFormat/>
    <w:pPr>
      <w:ind w:left="572"/>
      <w:outlineLvl w:val="1"/>
    </w:pPr>
    <w:rPr>
      <w:rFonts w:ascii="Arial" w:hAnsi="Arial" w:eastAsia="Arial" w:cs="Arial"/>
      <w:sz w:val="40"/>
      <w:szCs w:val="40"/>
      <w:lang w:val="pt-BR"/>
    </w:rPr>
  </w:style>
  <w:style w:type="paragraph" w:styleId="770" w:customStyle="1">
    <w:name w:val="Footer"/>
    <w:basedOn w:val="762"/>
    <w:link w:val="771"/>
    <w:semiHidden/>
    <w:unhideWhenUsed/>
    <w:pPr>
      <w:tabs>
        <w:tab w:val="center" w:pos="4252" w:leader="none"/>
        <w:tab w:val="right" w:pos="8504" w:leader="none"/>
      </w:tabs>
    </w:pPr>
  </w:style>
  <w:style w:type="character" w:styleId="771" w:customStyle="1">
    <w:name w:val="Rodapé Char"/>
    <w:basedOn w:val="763"/>
    <w:link w:val="770"/>
    <w:semiHidden/>
    <w:rPr>
      <w:rFonts w:ascii="Arial MT" w:hAnsi="Arial MT" w:eastAsia="Arial MT" w:cs="Arial MT"/>
      <w:lang w:val="pt-PT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ONLYOFFICE/7.2.0.204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Jary Alves</dc:creator>
  <cp:revision>8</cp:revision>
  <dcterms:created xsi:type="dcterms:W3CDTF">2023-11-13T17:41:00Z</dcterms:created>
  <dcterms:modified xsi:type="dcterms:W3CDTF">2023-11-14T11:56:42Z</dcterms:modified>
</cp:coreProperties>
</file>