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</w:rPr>
        <w:t xml:space="preserve"> </w:t>
      </w:r>
      <w:r>
        <w:rPr>
          <w:rFonts w:ascii="Calibri" w:hAnsi="Calibri" w:eastAsia="Calibri" w:cs="Calibri"/>
        </w:rPr>
        <w:t xml:space="preserve"> </w:t>
      </w:r>
      <w:r>
        <w:rPr>
          <w:rFonts w:ascii="Calibri" w:hAnsi="Calibri" w:eastAsia="Calibri" w:cs="Calibri"/>
        </w:rPr>
        <w:t xml:space="preserve">Que seja incluída no Calendário Oficial de Eventos do Município de Macaé a Festa Junina da Casa do Idoso de Macaé, considerando que o referido evento recebe apoio da Prefeitura Municipal de Macaé e é divulgado oficialmente no portal da prefeitura.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Diante de sua relevância social, cultural e comunitária, a inclusão do evento no calendário oficial contribuirá para o fortalecimento das ações voltadas à valorização da pessoa idosa e à promoção da cultura local.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11 de Maio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65</cp:revision>
  <dcterms:created xsi:type="dcterms:W3CDTF">2021-07-15T22:00:00Z</dcterms:created>
  <dcterms:modified xsi:type="dcterms:W3CDTF">2026-05-12T16:00:19Z</dcterms:modified>
  <cp:version>983040</cp:version>
</cp:coreProperties>
</file>