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PROJETO DE </w:t>
      </w:r>
      <w:r w:rsidRPr="009E179B">
        <w:rPr>
          <w:rFonts w:ascii="Arial" w:hAnsi="Arial" w:cs="Arial"/>
          <w:b/>
          <w:color w:val="000000"/>
          <w:sz w:val="24"/>
          <w:szCs w:val="24"/>
        </w:rPr>
        <w:t xml:space="preserve">LEI Nº </w:t>
      </w:r>
      <w:r>
        <w:rPr>
          <w:rFonts w:ascii="Arial" w:hAnsi="Arial" w:cs="Arial"/>
          <w:b/>
          <w:color w:val="000000"/>
          <w:sz w:val="24"/>
          <w:szCs w:val="24"/>
        </w:rPr>
        <w:t>1.</w:t>
      </w:r>
      <w:r>
        <w:rPr>
          <w:rFonts w:ascii="Arial" w:hAnsi="Arial" w:cs="Arial"/>
          <w:b/>
          <w:color w:val="000000"/>
          <w:sz w:val="24"/>
          <w:szCs w:val="24"/>
        </w:rPr>
        <w:t>986</w:t>
      </w:r>
      <w:r w:rsidRPr="009E179B">
        <w:rPr>
          <w:rFonts w:ascii="Arial" w:hAnsi="Arial" w:cs="Arial"/>
          <w:b/>
          <w:color w:val="000000"/>
          <w:sz w:val="24"/>
          <w:szCs w:val="24"/>
        </w:rPr>
        <w:t>/202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ind w:left="3686"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DISPÕE SOBRE AS DIRETRIZES PARA A ELABORAÇÃO DA LEI ORÇAMENTÁRIA DO EXERCÍCIO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E DÁ OUTRAS PROVIDÊNCIAS.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CAPÍTULO I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DISPOSIÇÕES PRELIMINARES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1º São estabelecidas, em cumprimento ao disposto no artigo 165, § 2º, da Constituição Federal, e na Lei Complementar nº 101, de 04 de maio de 2000, as diretrizes para a elaboração da lei orçamentária do exercício financeiro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compreendendo: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as metas e as prioridades da administração pública municipal;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as orientações básicas para a elaboração da lei orçamentária anual;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as disposições sobre a política de pessoal e de serviço extraordinário;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IV – as disposições sobre as receitas,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alterações na legislação tributária e as medidas de combate à evasão e à sonegação;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 – o equilíbrio entre receitas e despesas;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 – os critérios e as formas de limitação de empenho;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VII – as normas relativas a controle de custos e a avaliação de resultados de programas financiados com recursos orçamentários;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VIII – as condições e as exigências para as transferências de recursos a entidades públicas e privadas;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IX – a autorização para auxiliar o custeio de despesas atribuídas a outros entes de federação;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X – os parâmetros para a elaboração da programação financeira e do cronograma mensal de desembolso;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XI – a definição de critério para o início de novos projetos;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XII – a definição de despesas consideradas irrelevantes;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XIII – o incentivo à participação popular;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XIV – as disposições gerais.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CAPÍTULO II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DIRETRIZES ORÇAMENTÁRIAS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SEÇÃO I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AS METAS E AS PRIORIDADES DA ADMINISTRAÇÃO PÚBLICA MUNICIPAL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Art. 2º Em consonância com o disposto no artigo 165, § 2º, da Constituição Federal, e atendidas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despesas que constituem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obrigação constitucional ou legal do município, as ações relativas à manutenção e ao funcionamento dos órgãos da administração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direta, e as metas e as prioridades para o exercício financeiro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correspondem às ações especificadas no Anexo de Metas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Prioridades que integra esta lei, especificadas de acordo com os programas e ações estabelecidos no Plano Plurianual relativo ao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período de 2022–2025 as quais terão precedência na alocação de recursos na lei orçamentária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e na sua execução, não se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constituindo, todavia, em limite à programação das despesas.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§ 1º. O projeto de lei orçamentária para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deverá ser elaborado em consonância com as metas e as prioridades estabelecidas na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forma do caput deste artigo.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2º. O projeto de lei orçamentária para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conterá demonstrativo da observância das metas e prioridades estabelecidas na forma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do caput deste artigo.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SEÇÃO II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AS ORIENTAÇÕES BÁSICAS PARA A ELABORAÇÃO DA LEI ORÇAMENTÁRIA ANUAL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SUBSEÇÃO I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79B">
        <w:rPr>
          <w:rFonts w:ascii="Arial" w:hAnsi="Arial" w:cs="Arial"/>
          <w:b/>
          <w:color w:val="000000"/>
          <w:sz w:val="24"/>
          <w:szCs w:val="24"/>
        </w:rPr>
        <w:t>DAS DIRETRIZES GERAIS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Art. 3º As categorias de programação de que trata esta lei, serão identificadas por unidades orçamentárias, funções, </w:t>
      </w:r>
      <w:proofErr w:type="spellStart"/>
      <w:r w:rsidRPr="009E179B">
        <w:rPr>
          <w:rFonts w:ascii="Arial" w:hAnsi="Arial" w:cs="Arial"/>
          <w:color w:val="000000"/>
          <w:sz w:val="24"/>
          <w:szCs w:val="24"/>
        </w:rPr>
        <w:t>subfunções</w:t>
      </w:r>
      <w:proofErr w:type="spellEnd"/>
      <w:r w:rsidRPr="009E179B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programas, atividades, projetos, operações especiais, de acordo com as codificações da Portaria SOF nº 42/1999, da Portaria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Interministerial STN/SOF nº 163/2001 e suas alterações e da Lei do Plano Plurianual relativo ao período de 2022 a 2025.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4º O orçamento fiscal discriminará a despesa, no mínimo, por elemento de despesa, conforme artigo 15 da Lei nº 4.320/64.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5º O orçamento fiscal compreenderá a programação do Poder Executivo e Legislativo, devendo a correspondente execução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orçamentária e financeira ser consolidada no órgão central de contabilidade do município.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6º O projeto da lei orçamentária que o Poder Executivo encaminhará à Câmara Municipal será constituído de: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texto da lei;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documentos referenciados nos artigos 2º e 22º da Lei nº 4.320/1964;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quadros orçamentários consolidados;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IV – anexo do orçamento fiscal, discriminando a receita e a despesa na forma definida nesta lei;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 – demonstrativos e documentos previstos no artigo 5º da Lei Complementar nº 101/2000.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7º A estimativa da receita e a fixação da despesa, constantes do projeto da lei orçamentária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serão elaboradas em valores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correntes do exercício de 202</w:t>
      </w:r>
      <w:r>
        <w:rPr>
          <w:rFonts w:ascii="Arial" w:hAnsi="Arial" w:cs="Arial"/>
          <w:color w:val="000000"/>
          <w:sz w:val="24"/>
          <w:szCs w:val="24"/>
        </w:rPr>
        <w:t>2</w:t>
      </w:r>
      <w:r w:rsidRPr="009E179B">
        <w:rPr>
          <w:rFonts w:ascii="Arial" w:hAnsi="Arial" w:cs="Arial"/>
          <w:color w:val="000000"/>
          <w:sz w:val="24"/>
          <w:szCs w:val="24"/>
        </w:rPr>
        <w:t>, projetados ao exercício a que se refere.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O projeto da lei orçamentária atualizará a estimativa da margem de expansão das despesas, considerando 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acréscimos de receita resultantes do crescimento da economia e da evolução de outras variáveis que implicam aumento na base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cálculo, bem como de alterações na legislação tributária, devendo ser garantidas, no mínimo, as metas de resultado primário e nominal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estabelecidas nesta lei.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8º O Poder Executivo colocará à disposição do Poder Legislativo, no mínimo trinta dias antes do prazo final para 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encaminhamento de sua proposta orçamentária, os estudos e as estimativas das receitas para o exercício subsequente, inclusive 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corrente líquida, e as respectivas memórias de cálculo.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9º Na programação da despesa não poderão ser fixadas despesas sem que estejam definidas as respectivas fontes de recursos,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de forma a evitar o comprometimento do equilíbrio orçamentário entre a receita e a despesa.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10. A lei orçamentária discriminará as dotações destinadas ao pagamento de precatórios judiciais, em cumprimento ao disposto no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artigo 100 da Constituição Federal.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Para fins de acompanhamento, controle, e centralização, os órgãos da administração pública municipal, submeterão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os processos referentes ao pagamento de precatórios, à apreciação da Procuradoria Municipal.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lastRenderedPageBreak/>
        <w:t>SUBSEÇÃO II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ind w:left="708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DAS DISPOSIÇÕES RELATIVAS À DÍVIDA E AO ENDIVIDAMENTO PÚBLICO MUNICIPAL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11. A administração da dívida pública municipal interna tem por objetivo principal minimizar custos, reduzir o montante da dívida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pública, e viabilizar fontes alternativas de recursos para o Tesouro Municipal.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Deverão ser garantidos, na lei orçamentária, os recursos necessários para o pagamento da dívida.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 O município subordinar-se-á às normas estabelecidas na Resolução nº 40/2001 do Senado Federal e suas alterações, que dispõe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sobre os limites globais para o montante da dívida pública consolidada e da dívida pública mobiliária, em atendimento ao disposto no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artigo 52, incisos VI e IX, da Constituição Federal.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12. Na lei orçamentária para o exercício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as despesas com amortizações, juros, e demais encargos da dívida, serão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fixadas com base nas operações contratadas.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13. A lei orçamentária poderá conter autorização para contratação de operações de crédito pelo Poder Executivo, a qual ficará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condicionada ao atendimento das normas estabelecidas na Lei Complementar nº 101/2000 e na Resolução nº 43/2001 do Senado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Federal e suas alterações.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14. A lei orçamentária poderá conter autorização para a realização de operações de crédito por antecipação de receita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orçamentária, desde que observado o disposto no art. 38 da Lei Complementar nº 101/2000 e atendidas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exigências estabelecidas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na Resolução nº 43/2001 do Senado Federal e suas alterações.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SUBSEÇÃO III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lastRenderedPageBreak/>
        <w:t>DA DEFINIÇÃO DO MONTANTE E DA FORMA DE UTILIZAÇÃO DA RESERVA DE CONTINGÊNCIA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15. A lei orçamentária poderá conter reserva de contingência, constituída exclusivamente com recursos do orçamento fiscal, e será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equivalente a no máximo 5% da receita corrente líquida prevista na proposta orçamentária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destinada ao atendimento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passivos contingentes, outros riscos e eventos fiscais imprevistos, e reforço das dotações orçamentárias que se tornarem insuficientes.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SEÇÃO III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AS DISPOSIÇÕES SOBRE A POLÍTICA DE PESSOAL E DE SERVIÇO EXTRAORDINÁRIO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SUBSEÇÃO I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DAS DISPOSIÇÕES SOBRE A POLÍTICA DE PESSOAL E DE ENCARGOS SOCIAIS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16. Para fins de atendimento ao disposto no artigo 169, § 1º, inciso II, da Constituição Federal, observado o inciso I do mesmo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parágrafo,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ficam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autorizadas as concessões de quaisquer vantagens, aumentos de remunerações, criações de cargos, empregos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funções, alterações de estruturas de carreiras, bem como admissões ou contratações de pessoal a qualquer título, desde que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observado o disposto nos artigos 15, 16 e 17 da Lei Complementar nº 101/2000.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Além de observar as normas do caput, no exercício financeiro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as despesas com pessoal dos Poderes Executivo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Legislativo, deverão atender as disposições contidas nos artigos 18, 19 e 20 da Lei Complementar nº 101/2000.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§ 2º Se a despesa total com pessoal ultrapassar os limites estabelecidos no artigo 19 da Lei Complementar nº 101/2000, serão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adotadas as medidas de que tratam os §§ 3º e 4º do artigo 169 da Constituição Federal.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SUBSEÇÃO II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DA PREVISÃO PARA A CONTRATAÇÃO EXCEPCIONAL DE HORAS EXTRAS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17. Se durante o exercício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a despesa com pessoal atingir o limite de que trata o parágrafo único do artigo 22 da Lei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Complementar nº 101/2000, o pagamento da realização de serviço extraordinário, somente poderá ocorrer quando destinada ao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atendimento de relevantes interesses públicos, que ensejem situações emergenciais de risco ou de prejuízo para a sociedade.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A autorização para a realização de serviço extraordinário, para atender as situações previstas no caput deste artigo,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no âmbito do Poder Executivo é de exclusiva competência do Prefeito Municipal, e no âmbito do Poder Legislativo é de exclusiva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competência do Presidente da Câmara, conforme Estatuto dos Servidores.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SEÇÃO IV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 xml:space="preserve">AS DISPOSIÇÕES SOBRE AS RECEITAS, ALTERAÇÕES NA LEGILAÇÃO TRIBUTÁRIA E AS MEDIDAS DE COMBATE A </w:t>
      </w:r>
      <w:proofErr w:type="gramStart"/>
      <w:r w:rsidRPr="00C76A5A">
        <w:rPr>
          <w:rFonts w:ascii="Arial" w:hAnsi="Arial" w:cs="Arial"/>
          <w:b/>
          <w:color w:val="000000"/>
          <w:sz w:val="24"/>
          <w:szCs w:val="24"/>
        </w:rPr>
        <w:t>EVASÃO</w:t>
      </w:r>
      <w:proofErr w:type="gramEnd"/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E A SONEGAÇÃO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18. A estimativa da receita que constará do projeto da lei orçamentária para o exercício de 202</w:t>
      </w:r>
      <w:r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com vistas à expansão da base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tributária, e consequente aumento das receitas próprias, contemplará as medidas de aperfeiçoamento da administração dos tributos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municipais, dentre as quais: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I – aperfeiçoamento do sistema de formação, tramitação, e julgamento dos processos tributários administrativos, por meio da revisão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da racionalização das rotinas e dos processos, objetivando a modernização, a padronização de atividades, a melhoria dos controles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internos, e a eficiência na prestação de serviços, visando à racionalização, simplificação, e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agilização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>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aperfeiçoamento dos sistemas de fiscalização, cobrança, e arrecadação de tributos, objetivando a sua maior exatidão;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aplicação das penalidades fiscais, como instrumento inibitório da prática de infração da legislação tributária.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19. A estimativa da receita de que trata o artigo anterior, levará em consideração, adicionalmente, o impacto de alteração na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legislação tributária, com destaque para: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atualização da planta genérica de valores do município;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revisão, atualização, ou adequação da legislação sobre Imposto Predial e Territorial Urbano, suas alíquotas, formas de cálculos,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condições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de pagamentos, descontos e isenções, inclusive com relação à progressividade deste imposto;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revisão da legislação sobre o uso do solo, com redefinição dos limites da zona urbana municipal;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IV – revisão da legislação referente ao Imposto Sobre Serviços de Qualquer Natureza;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 – revisão da legislação aplicável ao Imposto sobre a Transmissão Inter Vivos de Bens Imóveis e de Direitos Reais sobre Imóveis;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 – instituição de taxas pela utilização efetiva ou potencial de serviços públicos específicos e divisíveis, prestados ao contribuinte ou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postos a sua disposição;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VII – revisão da legislação sobre as taxas pelo exercício do poder de polícia;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VIII – revisão das isenções dos tributos municipais, para manter o interesse público e a justiça fiscal;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IX – instituição, por lei específica, da Contribuição de Melhoria, com a finalidade de tornar exequível a sua cobrança;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X – a instituição de novos tributos ou a modificação, em decorrência de alterações legais, daqueles já instituídos.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20. O projeto que conceda ou amplie incentivo ou benefício de natureza tributária, somente será aprovado se atendidas às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exigências do artigo 14 da Lei Complementar nº 101/2000.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21. Na estimativa das receitas do projeto da lei orçamentária, poderão ser considerados os efeitos de propostas de alterações na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legislação tributária, que estejam em tramitação na Câmara Municipal.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Caso as alterações propostas não sejam aprovadas, ou o sejam parcialmente, de forma a não permitir a integralização 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recursos esperados, as dotações à conta das referidas receitas serão canceladas, mediante decreto, nos trinta dias subsequentes à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publicação do projeto de lei orçamentária de 2022.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§ 2º No caso de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não-aprovação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das propostas de alteração previstas no caput, poderá ser efetuada a substituição das fontes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condicionadas por excesso de arrecadação de outras fontes, inclusive de operações de crédito, ou por superávit financeiro apurado em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balanço patrimonial do exercício anterior, antes do cancelamento previsto no § 1º deste artigo.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SEÇÃO V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O EQUILÍBRIO ENTRE RECEITAS E DESPESAS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22. A elaboração do projeto, a aprovação, e a execução orçamentária, serão orientadas no sentido de alcançar o superávit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primário, necessário para garantir uma trajetória de solidez financeira da administração municipal, conforme discriminado no Anexo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Metas Fiscais, constante desta lei.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Art. 23. Os projetos de lei que impliquem em diminuição de receita, ou aumento de despesa, no exercício de 202</w:t>
      </w:r>
      <w:r w:rsidR="00CE24F2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deverão estar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acompanhados de demonstrativos que discriminem o montante estimado da diminuição da receita, ou do aumento da despesa, para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cada um dos exercícios compreendidos no período de 202</w:t>
      </w:r>
      <w:r w:rsidR="00CE24F2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a 202</w:t>
      </w:r>
      <w:r w:rsidR="00CE24F2">
        <w:rPr>
          <w:rFonts w:ascii="Arial" w:hAnsi="Arial" w:cs="Arial"/>
          <w:color w:val="000000"/>
          <w:sz w:val="24"/>
          <w:szCs w:val="24"/>
        </w:rPr>
        <w:t>5</w:t>
      </w:r>
      <w:r w:rsidRPr="009E179B">
        <w:rPr>
          <w:rFonts w:ascii="Arial" w:hAnsi="Arial" w:cs="Arial"/>
          <w:color w:val="000000"/>
          <w:sz w:val="24"/>
          <w:szCs w:val="24"/>
        </w:rPr>
        <w:t>, demonstrando a memória de cálculo respectiva.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Não será aprovado projeto de lei que implique em aumento de despesa, sem que esteja acompanhado das medidas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definidas nos artigos 16 e 17 da Lei Complementar nº 101/2000.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24. As estratégias para busca ou manutenção do equilíbrio entre as receitas e despesas, deverão levar em conta as seguintes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medidas: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para a elevação das receitas: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a) a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implementação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das medidas previstas nos artigos 17 e 18 desta lei,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b) a atualização do cadastro imobiliário,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c) o chamamento geral dos contribuintes inscritos na Dívida Ativa e posterior execução fiscal.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para a redução das despesas: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a)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a utilização da modalidade de licitação denominada pregão e a implantação de rigorosa pesquisa de preços, de forma a baratear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toda e qualquer compra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>, e evitar a cartelização dos fornecedores,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b) a revisão geral das gratificações concedidas aos servidores.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gramStart"/>
      <w:r w:rsidRPr="00C76A5A">
        <w:rPr>
          <w:rFonts w:ascii="Arial" w:hAnsi="Arial" w:cs="Arial"/>
          <w:b/>
          <w:color w:val="000000"/>
          <w:sz w:val="24"/>
          <w:szCs w:val="24"/>
        </w:rPr>
        <w:t>SEÇÃO VI</w:t>
      </w:r>
      <w:proofErr w:type="gramEnd"/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OS CRITÉRIOS E AS FORMAS DE LIMITAÇÃO DE EMPENHO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25. Na hipótese de ocorrência das circunstâncias estabelecidas no artigo 9º, e no inciso II do § 1º do artigo 31, da Lei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Complementar nº 101/2000, o Poder Executivo procederá à respectiva limitação de empenho e de movimentação financeira, calculada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com base no total das dotações iniciais </w:t>
      </w: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constantes da lei orçamentária de 202</w:t>
      </w:r>
      <w:r w:rsidR="00726717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utilizando para tal fim as cotas orçamentárias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financeiras.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Excluem da limitação prevista no caput deste artigo, as despesas com pessoal e encargos sociais, as despesas com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benefícios previdenciários, as despesas com amortização, juros e encargos da dívida, as despesas com PASEP, as despesas com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pagamentos de precatórios e sentenças judiciais, as demais despesas que constituam obrigação constitucional legal.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SEÇÃO VII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 xml:space="preserve">AS NORMAS RELATIVAS </w:t>
      </w:r>
      <w:proofErr w:type="gramStart"/>
      <w:r w:rsidRPr="00C76A5A">
        <w:rPr>
          <w:rFonts w:ascii="Arial" w:hAnsi="Arial" w:cs="Arial"/>
          <w:b/>
          <w:color w:val="000000"/>
          <w:sz w:val="24"/>
          <w:szCs w:val="24"/>
        </w:rPr>
        <w:t>A</w:t>
      </w:r>
      <w:proofErr w:type="gramEnd"/>
      <w:r w:rsidRPr="00C76A5A">
        <w:rPr>
          <w:rFonts w:ascii="Arial" w:hAnsi="Arial" w:cs="Arial"/>
          <w:b/>
          <w:color w:val="000000"/>
          <w:sz w:val="24"/>
          <w:szCs w:val="24"/>
        </w:rPr>
        <w:t xml:space="preserve"> CONTROLE DE CUSTOS E A AVALIAÇÃO DE RESULTADOS DE PROGRAMAS FINANCIADOS COM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RECURSOS ORÇAMENTÁRIOS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26. O Poder Executivo realizará estudos, visando à definição de sistema de controle de custos, e a avaliação do resultado 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programas de governo.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27. Além de observar as demais diretrizes estabelecidas nesta lei, à alocação dos recursos na lei orçamentária e em seus créditos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adicionais, bem como a respectiva execução, serão feitas de forma a propiciar o controle de custos, e a avaliação dos resultados 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programas de governo.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A lei orçamentária de 202</w:t>
      </w:r>
      <w:r w:rsidR="00726717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e seus créditos adicionais, deverão agregar todas as ações governamentais necessárias ao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cumprimento dos objetivos dos respectivos programas, sendo que as ações governamentais que não contribuírem para a realização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um programa específico deverão ser agregadas num programa denominado “Apoio Administrativo” ou de finalidade semelhante.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 Merecerá destaque, o aprimoramento da gestão orçamentária, financeira, e patrimonial, por intermédio da modernização 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instrumentos de planejamento, execução, avaliação, e controle interno.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 xml:space="preserve">§ 3º O Poder Executivo promoverá amplo esforço de redução de custos,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otimização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de gastos, e reordenamento de despesas do setor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público municipal, sobretudo pelo aumento da produtividade na prestação de serviços públicos e sociais.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SEÇÃO VIII</w:t>
      </w:r>
    </w:p>
    <w:p w:rsidR="000F225D" w:rsidRPr="00C76A5A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6A5A">
        <w:rPr>
          <w:rFonts w:ascii="Arial" w:hAnsi="Arial" w:cs="Arial"/>
          <w:b/>
          <w:color w:val="000000"/>
          <w:sz w:val="24"/>
          <w:szCs w:val="24"/>
        </w:rPr>
        <w:t>AS CONDIÇÕES E AS EXIGÊNCIAS PARA AS TRANSFERÊNCIAS DE RECURSOS A ENTIDADES PÚBLICAS E PRIVADAS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28. A destinação de recursos públicos para cobrir as necessidades de pessoas físicas ou jurídicas, deverá ser autorizada por lei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específica, atender as disposições especificadas nesta lei, estar prevista no orçamento e em seus créditos adicionais, e acontecer sob</w:t>
      </w:r>
      <w:r>
        <w:rPr>
          <w:rFonts w:ascii="Arial" w:hAnsi="Arial" w:cs="Arial"/>
          <w:color w:val="000000"/>
          <w:sz w:val="24"/>
          <w:szCs w:val="24"/>
        </w:rPr>
        <w:t>r</w:t>
      </w:r>
      <w:r w:rsidRPr="009E179B">
        <w:rPr>
          <w:rFonts w:ascii="Arial" w:hAnsi="Arial" w:cs="Arial"/>
          <w:color w:val="000000"/>
          <w:sz w:val="24"/>
          <w:szCs w:val="24"/>
        </w:rPr>
        <w:t>as seguintes modalidades orçamentárias: auxílio, contribuição e subvenção.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29. A concessão de auxílio, contribuição e subvenção social será concedida com a estrita observação dos seguintes aspectos: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apresentação da lei que a declare como entidade de utilidade pública;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apresentação da declaração de efetivo funcionamento nos últimos dois anos emitida por autoridade local;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apresentação do comprovante de regularidade do mandato da diretoria;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IV – apresentação do comprovante da atividade de natureza continuada;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 – apresentação de certificado de adimplência fiscal;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 – ser entidade sem fins lucrativos;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VII – celebração de convênio definindo a regência do objeto pactuado;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VIII – apresentação do plano de trabalho;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 xml:space="preserve">IX – apresentação da prestação de conta do recurso recebido, submetendo-se a fiscalização do Poder Executivo, com a finalidade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de</w:t>
      </w:r>
      <w:proofErr w:type="gramEnd"/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verificar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o cumprimento dos objetivos para os quais receberam os recursos;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X – não possuir débito de prestação de contas de recursos recebidos anteriormente.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Para a concessão de subvenção social ainda deverá ser observado: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 destinação para a cobertura de despesa corrente (custeio);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ser entidade sem fim lucrativo na área de assistência social, saúde e educação, de atendimento direto e gratuito ao público,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colocando à disposição da comunidade bem e serviço, existindo assim a contraprestação de serviço.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 Para a concessão de auxílio ainda deverá ser observado: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 destinação para a cobertura para despesa de capital (investimento);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ser entidade sem fim lucrativo, cujo recurso seja exclusivamente para cobrir despesa de investimento, independente 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contraprestação direta de bem e serviço.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3º Para a concessão de contribuição ainda deverá ser observado: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 destinação para a cobertura para despesa corrente (custeio) e ou para despesa de capital (investimento);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ser entidade sem fim lucrativo, cujo recurso seja para despesa corrente ou capital, independente da contraprestação direta de bem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 serviço, e não seja reembolsável pelo recebedor.</w:t>
      </w:r>
    </w:p>
    <w:p w:rsidR="000F225D" w:rsidRPr="009E179B" w:rsidRDefault="000F225D" w:rsidP="00BF53B7">
      <w:pPr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30. A subvenção econômica é concedida à empresa pública ou privada, de caráter industrial, comercial, agrícola ou pastoril, com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fim lucrativo, sendo destinada para cobrir déficit de manutenção ou de funcionamento de empresa pública, para cobrir a diferença entre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 preço de mercado e o preço de revenda pelo governo de gênero alimentício ou outro material, para pagamento de bonificação 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produtor de determinado gênero ou material, de acordo com o artigo 19 da lei nº 4.320/64, devendo ser autorizada por meio de lei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especial.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31. É vedada a destinação, na lei orçamentária e em seus créditos adicionais, de recursos para diretamente cobrir necessidades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de pessoas físicas, ressalvadas as que atendam às exigências do artigo 26 da Lei Complementar nº 101/2000, e sejam observadas as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condições definidas em lei específica.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Parágrafo único. As normas do caput deste artigo, não se aplicam a ajuda a pessoas físicas custeadas pelos recursos do Sistema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Único de Saúde.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32. A transferência de recursos financeiros de um órgão para outro, inclusive da Prefeitura Municipal para a Câmara Municipal, fica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limitada ao valor previsto na lei orçamentária anual e em seus créditos adicionais, calculada de acordo com o limite de repasse legal.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O aumento da transferência de recursos financeiros da Prefeitura Municipal para a Câmara Municipal, somente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poderá ocorrer mediante prévia autorização legislativa, conforme determina o artigo 167, inciso VI da Constituição Federal.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33. Fica o Poder Executivo autorizado a fazer repasse de recursos públicos a Organizações da Sociedade Civil mediante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celebração de parcerias tendo por objeto a execução de atividade ou projeto de competência do Município e deverão ser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especificamente autorizada em lei municipal e formalizada por meio de Termo de Fomento ou Termo de Colaboração, em consonância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com a Lei 13.019/2014.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1º. A celebração, execução e prestação de contas obedecerão aos critérios e prazos estabelecidos em legislação federal e municipal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pertinentes, bem como nas instruções editadas pelo Tribunal de Contas do estado de Minas Gerais.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2º. Fica vedada a concessão de repasses financeiros às entidades que não prestarem contas dos recursos anteriormente recebidos,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assim como às que não tiverem suas contas aprovadas pelo executivo Municipal.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SEÇÃO IX</w:t>
      </w: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A AUTORIZAÇÃO PARA AUXILIAR O CUSTEIO DE DESPESAS ATRIBUÍDAS A OUTROS ENTES DE FEDERAÇÃO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34. É vedada a inclusão, na lei orçamentária e em seus créditos adicionais, de dotações para que o município contribua para 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custeio de despesas de </w:t>
      </w:r>
      <w:r w:rsidRPr="009E179B">
        <w:rPr>
          <w:rFonts w:ascii="Arial" w:hAnsi="Arial" w:cs="Arial"/>
          <w:color w:val="000000"/>
          <w:sz w:val="24"/>
          <w:szCs w:val="24"/>
        </w:rPr>
        <w:lastRenderedPageBreak/>
        <w:t xml:space="preserve">competência de outro ente da federação,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ressalvadas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as autorizadas mediante lei específica, e que sejam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destinadas ao atendimento das situações que envolvam claramente o interesse local.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A realização da despesa definida no caput deste artigo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, deverá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ser precedida da aprovação de plano de trabalho e 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celebração de convênio, de acordo com o artigo 116 da Lei Federal nº 8.666/1993, e o artigo 62 da Lei Complementar 101/00.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SEÇÃO X</w:t>
      </w: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OS PARÂMETROS PARA A ELABORAÇÃO DA PROGRAMAÇÃO FINANCEIRA E DO CRONOGRAMA MENSAL DE DESEMBOLSO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35. O Poder Executivo estabelecerá por ato próprio, a divulgação no órgão oficial de publicação, até trinta dias após a publicação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da 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das metas bimestrais de arrecadação de receitas, de forma a atender o disposto no artigo 13 da Lei Complementar nº 101/2000;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da programação financeira das despesas, nos termos do artigo 8º da Lei Complementar nº 101/2000;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do cronograma mensal de desembolso, incluídos os pagamentos dos restos a pagar, nos termos do artigo 8º da Lei Complementar</w:t>
      </w:r>
      <w:r w:rsidR="00FB0D5B"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nº 101/2000.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SEÇÃO XI</w:t>
      </w: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A DEFINIÇÃO DE CRITÉRIO PARA O INÍCIO DE NOVOS PROJETOS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36. Além da observância das metas e das prioridades definidas nos termos do artigo 2º desta lei, a 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seus créditos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adicionais, observado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o disposto no artigo 45 da Lei Complementar nº 101/2000, somente incluirão novos projetos se: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I – estiverem compatíveis com o Plano Plurianual de 2022 a 2025 e com as normas desta lei;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as dotações consignadas às obras já iniciadas forem suficientes para o atendimento de seu cronograma físico-financeiro;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estiverem preservados os recursos necessários à conservação do patrimônio público;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IV – os recursos alocados destinarem-se a convênios de recursos federais e estaduais, bem como a contrapartida exigida, ou ainda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operações de crédito;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Parágrafo único. Considera-se projeto em andamento para os efeitos desta lei, aquele cuja execução iniciar-se até a data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encaminhamento da proposta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cujo cronograma de execução ultrapasse o término do exercício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SEÇÃO XII</w:t>
      </w: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A DEFINIÇÃO DE DESPESAS CONSIDERADAS IRRELEVANTES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37. Para fins do disposto no § 3º do artigo 16 da Lei Complementar nº 101/2000, são consideradas despesas irrelevantes, aquelas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cujo valor não ultrapasse os limites previstos nos incisos I e II do artigo 24 da Lei Federal nº 8.666/1993, nos casos, respectivamente,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de obras e serviços de engenharia e de outros serviços e compras.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SEÇÃO XIII</w:t>
      </w: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O INCENTIVO À PARTICIPAÇÃO POPULAR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38. O projeto de lei orçamentária, relativo ao exercício financeiro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deverá assegurar a transparência na elaboração e na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execução do orçamento.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Parágrafo único. O princípio da transparência implica, além da observância do princípio constitucional da publicidade, na utilização dos</w:t>
      </w:r>
      <w:r w:rsidR="00E869CE"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meios disponíveis para garantir o efetivo acesso dos munícipes, às informações relativas ao orçamento.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SEÇÃO XIV</w:t>
      </w:r>
    </w:p>
    <w:p w:rsidR="000F225D" w:rsidRPr="00280CE9" w:rsidRDefault="000F225D" w:rsidP="00BF53B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0CE9">
        <w:rPr>
          <w:rFonts w:ascii="Arial" w:hAnsi="Arial" w:cs="Arial"/>
          <w:b/>
          <w:color w:val="000000"/>
          <w:sz w:val="24"/>
          <w:szCs w:val="24"/>
        </w:rPr>
        <w:t>AS DISPOSIÇÕES GERAIS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39. O Poder Executivo poderá, mediante decreto, transpor, remanejar, transferir ou utilizar, total ou parcialmente, as dotações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orçamentárias aprovadas na 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e em seus créditos adicionais, em decorrência de extinção, transformação,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transferência, incorporação ou desmembramento de órgãos e entidades, bem como de alterações de suas competências ou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atribuições, mantida a estrutura programática, expressa por categoria de programação, conforme definida no art. 3º, desta Lei.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1º. As categorias de programação, aprovadas na lei orçamentária de 202</w:t>
      </w:r>
      <w:r w:rsidR="00BF53B7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e em seus créditos adicionais, poderão ser modificadas,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por meio de decreto, para atender às necessidades de execução, desde que verificada a inviabilidade técnica, operacional ou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econômica da execução do crédito, criando, quando necessário, novas naturezas de despesa.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2º. As modificações a que se refere este artigo também poderão ocorrer quando da abertura de créditos suplementares autorizados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na lei orçamentária, os quais deverão ser abertos mediante decreto do Poder Executivo.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40. O Município poderá realizar, no curso da execução orçamentária, a inclusão de outras fontes de recursos e a alteração 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código da fonte e destinação de recursos aprovados na 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para atender às suas peculiaridades.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Não se considera abertura de crédito adicional suplementar a modificação do código da fonte e destinação de recursos de que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trata o caput deste artigo.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§ 2º As modificações de que trata o caput deste artigo serão efetuadas por ato do Chefe do Executivo, devidamente justificadas,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observando-se o padrão estabelecido pelo Tribunal de Contas do Estado de Minas Gerais, obedecendo ainda às normas sobre 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matéria editadas pela Secretaria do Tesouro Nacional.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41. A abertura de créditos suplementares e especiais dependerá de prévia autorização legislativa e da existência de recursos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disponíveis para cobrir a despesa, nos termos da Lei nº 4.320/1964 e da Constituição da República.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1º. A lei orçamentária conterá autorização e disporá sobre o limite para a abertura de créditos adicionais suplementares.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2º. Acompanharão os projetos de leis relativos a créditos adicionais exposições de motivos circunstanciadas que os justifiquem.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42. A abertura de créditos especiais dependerá de prévia autorização legislativa e da existência de recursos disponíveis para cobrir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 despesa, nos termos da Lei Federal nº 4.320/1964 e da Constituição Federal.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1º. Acompanharão os projetos de lei relativos a créditos adicionais especiais, exposições de motivos circunstanciadas que 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justifiquem e que indiquem as consequências dos cancelamentos de dotações propostos.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43. A reabertura dos créditos especiais e extraordinários, conforme disposto no art. 167, § 2º, da Constituição da República, será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9E179B">
        <w:rPr>
          <w:rFonts w:ascii="Arial" w:hAnsi="Arial" w:cs="Arial"/>
          <w:color w:val="000000"/>
          <w:sz w:val="24"/>
          <w:szCs w:val="24"/>
        </w:rPr>
        <w:t>efetivada</w:t>
      </w:r>
      <w:proofErr w:type="gramEnd"/>
      <w:r w:rsidRPr="009E179B">
        <w:rPr>
          <w:rFonts w:ascii="Arial" w:hAnsi="Arial" w:cs="Arial"/>
          <w:color w:val="000000"/>
          <w:sz w:val="24"/>
          <w:szCs w:val="24"/>
        </w:rPr>
        <w:t xml:space="preserve"> mediante decreto do Prefeito Municipal, utilizando os recursos previstos no art. 43 da Lei nº 4.320/1964.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9E179B">
        <w:rPr>
          <w:rFonts w:ascii="Arial" w:hAnsi="Arial" w:cs="Arial"/>
          <w:color w:val="000000"/>
          <w:sz w:val="24"/>
          <w:szCs w:val="24"/>
        </w:rPr>
        <w:t>Art</w:t>
      </w:r>
      <w:proofErr w:type="spellEnd"/>
      <w:r w:rsidRPr="009E179B">
        <w:rPr>
          <w:rFonts w:ascii="Arial" w:hAnsi="Arial" w:cs="Arial"/>
          <w:color w:val="000000"/>
          <w:sz w:val="24"/>
          <w:szCs w:val="24"/>
        </w:rPr>
        <w:t xml:space="preserve"> 44. O Poder Executivo poderá encaminhar mensagem ao Poder Legislativo para propor modificações no projeto de lei orçamentária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anual enquanto não iniciada a sua votação, no tocante as partes cuja alteração é proposta.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45. Se o projeto de 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 não for sancionado pela Prefeita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até 31 de dezembro de 202</w:t>
      </w:r>
      <w:r w:rsidR="00FB0D5B">
        <w:rPr>
          <w:rFonts w:ascii="Arial" w:hAnsi="Arial" w:cs="Arial"/>
          <w:color w:val="000000"/>
          <w:sz w:val="24"/>
          <w:szCs w:val="24"/>
        </w:rPr>
        <w:t>2</w:t>
      </w:r>
      <w:r w:rsidRPr="009E179B">
        <w:rPr>
          <w:rFonts w:ascii="Arial" w:hAnsi="Arial" w:cs="Arial"/>
          <w:color w:val="000000"/>
          <w:sz w:val="24"/>
          <w:szCs w:val="24"/>
        </w:rPr>
        <w:t>, a programação dele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constante poderá ser executada para o atendimento das seguintes despesas: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pessoal e encargos sociais;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lastRenderedPageBreak/>
        <w:t>II – benefícios previdenciários;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III – amortização, juros e encargos da dívida;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IV – PASEP;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 – demais despesas que constituem obrigações constitucionais ou legais do município;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VI – outras despesas correntes de caráter inadiável.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1º As despesas descritas no inciso VI deste artigo estão limitadas à 1/12 (um doze avos) do total de cada ação prevista no projeto de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multiplicado pelo número de meses decorridos até a sanção da respectiva lei.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§ 2º Na execução de outras despesas correntes de caráter inadiável, a que se refere o inciso VI do artigo 44, o ordenador de despesa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poderá considerar os valores constantes do projeto de lei orçamentária de 202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>, para fins do cumprimento do disposto no artigo 16 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Lei Complementar nº 101/2000.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46. Em atendimento ao disposto no artigo 4º, §§ 1º, 2º e 3º da Lei Complementar nº 101/2000, integram a presente lei os seguintes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E179B">
        <w:rPr>
          <w:rFonts w:ascii="Arial" w:hAnsi="Arial" w:cs="Arial"/>
          <w:color w:val="000000"/>
          <w:sz w:val="24"/>
          <w:szCs w:val="24"/>
        </w:rPr>
        <w:t>anexos: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 – Anexo de Metas Fiscais;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II – Anexo de Riscos Fiscais;</w:t>
      </w:r>
    </w:p>
    <w:p w:rsidR="00FB0D5B" w:rsidRPr="009E179B" w:rsidRDefault="00FB0D5B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III – Anexo de Metas e Prioridades da Administração;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Art. 47. Esta lei entra em vigor na data de sua publicação.</w:t>
      </w: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Jacuí-MG, 1</w:t>
      </w:r>
      <w:r w:rsidR="00FB0D5B">
        <w:rPr>
          <w:rFonts w:ascii="Arial" w:hAnsi="Arial" w:cs="Arial"/>
          <w:color w:val="000000"/>
          <w:sz w:val="24"/>
          <w:szCs w:val="24"/>
        </w:rPr>
        <w:t>3</w:t>
      </w:r>
      <w:r w:rsidRPr="009E179B">
        <w:rPr>
          <w:rFonts w:ascii="Arial" w:hAnsi="Arial" w:cs="Arial"/>
          <w:color w:val="000000"/>
          <w:sz w:val="24"/>
          <w:szCs w:val="24"/>
        </w:rPr>
        <w:t xml:space="preserve"> de abril de 202</w:t>
      </w:r>
      <w:r w:rsidR="00FB0D5B">
        <w:rPr>
          <w:rFonts w:ascii="Arial" w:hAnsi="Arial" w:cs="Arial"/>
          <w:color w:val="000000"/>
          <w:sz w:val="24"/>
          <w:szCs w:val="24"/>
        </w:rPr>
        <w:t>2</w:t>
      </w:r>
      <w:r w:rsidRPr="009E179B">
        <w:rPr>
          <w:rFonts w:ascii="Arial" w:hAnsi="Arial" w:cs="Arial"/>
          <w:color w:val="000000"/>
          <w:sz w:val="24"/>
          <w:szCs w:val="24"/>
        </w:rPr>
        <w:t>.</w:t>
      </w: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</w:p>
    <w:p w:rsidR="000F225D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0F225D" w:rsidRPr="009E179B" w:rsidRDefault="000F225D" w:rsidP="00BF53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Maria Conceição dos Reis Pereira</w:t>
      </w:r>
    </w:p>
    <w:p w:rsidR="000F225D" w:rsidRPr="009E179B" w:rsidRDefault="000F225D" w:rsidP="00BF53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179B">
        <w:rPr>
          <w:rFonts w:ascii="Arial" w:hAnsi="Arial" w:cs="Arial"/>
          <w:color w:val="000000"/>
          <w:sz w:val="24"/>
          <w:szCs w:val="24"/>
        </w:rPr>
        <w:t>Prefeita Municipal</w:t>
      </w:r>
    </w:p>
    <w:p w:rsidR="0031307D" w:rsidRDefault="0031307D" w:rsidP="00BF53B7">
      <w:pPr>
        <w:spacing w:line="360" w:lineRule="auto"/>
      </w:pPr>
    </w:p>
    <w:sectPr w:rsidR="003130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DA8" w:rsidRDefault="00080DA8" w:rsidP="00AB0B29">
      <w:pPr>
        <w:spacing w:after="0" w:line="240" w:lineRule="auto"/>
      </w:pPr>
      <w:r>
        <w:separator/>
      </w:r>
    </w:p>
  </w:endnote>
  <w:endnote w:type="continuationSeparator" w:id="0">
    <w:p w:rsidR="00080DA8" w:rsidRDefault="00080DA8" w:rsidP="00AB0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DA8" w:rsidRDefault="00080DA8" w:rsidP="00AB0B29">
      <w:pPr>
        <w:spacing w:after="0" w:line="240" w:lineRule="auto"/>
      </w:pPr>
      <w:r>
        <w:separator/>
      </w:r>
    </w:p>
  </w:footnote>
  <w:footnote w:type="continuationSeparator" w:id="0">
    <w:p w:rsidR="00080DA8" w:rsidRDefault="00080DA8" w:rsidP="00AB0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Cabealho"/>
    </w:pPr>
  </w:p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AB0B29" w:rsidRPr="00AB0B29" w:rsidTr="00AB0B29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AB0B29" w:rsidRPr="00AB0B29" w:rsidRDefault="00AB0B29" w:rsidP="00AB0B29">
          <w:pPr>
            <w:pStyle w:val="SemEspaamento"/>
          </w:pPr>
          <w:r w:rsidRPr="00AB0B29">
            <w:rPr>
              <w:noProof/>
            </w:rPr>
            <w:drawing>
              <wp:inline distT="0" distB="0" distL="0" distR="0" wp14:anchorId="044CDCA9" wp14:editId="13B9E888">
                <wp:extent cx="1295400" cy="1295400"/>
                <wp:effectExtent l="0" t="0" r="0" b="0"/>
                <wp:docPr id="14" name="Imagem 1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i/>
              <w:sz w:val="40"/>
              <w:szCs w:val="21"/>
              <w:u w:val="single"/>
              <w:lang w:eastAsia="ar-SA"/>
            </w:rPr>
            <w:t>MUNICIPIO DE JACUÍ</w:t>
          </w:r>
        </w:p>
        <w:p w:rsid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“JACUÍ A MÃE DO SUDOESTE MINEIRO”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CNPJ/MF: 18.186.056/0001-48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CEP: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37.965-000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Fone: (35) 3593-1255           Fax (35) 3593-1250</w:t>
          </w:r>
        </w:p>
        <w:p w:rsidR="00AB0B29" w:rsidRPr="00AB0B29" w:rsidRDefault="00AB0B29" w:rsidP="00AB0B29">
          <w:pPr>
            <w:suppressAutoHyphens/>
            <w:spacing w:after="0" w:line="240" w:lineRule="auto"/>
            <w:jc w:val="center"/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</w:pPr>
          <w:proofErr w:type="spell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Email</w:t>
          </w:r>
          <w:proofErr w:type="spellEnd"/>
          <w:proofErr w:type="gramStart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 xml:space="preserve">  </w:t>
          </w:r>
          <w:proofErr w:type="gramEnd"/>
          <w:r w:rsidRPr="00AB0B29">
            <w:rPr>
              <w:rFonts w:ascii="Bookman Old Style" w:eastAsia="Times New Roman" w:hAnsi="Bookman Old Style" w:cs="Arial"/>
              <w:b/>
              <w:sz w:val="20"/>
              <w:szCs w:val="21"/>
              <w:lang w:eastAsia="ar-SA"/>
            </w:rPr>
            <w:t>-  gabinete@jacui.mg.gov.br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AB0B29" w:rsidRPr="00AB0B29" w:rsidRDefault="00AB0B29" w:rsidP="00AB0B29">
          <w:pPr>
            <w:pStyle w:val="SemEspaamento"/>
          </w:pPr>
        </w:p>
      </w:tc>
    </w:tr>
  </w:tbl>
  <w:p w:rsidR="00AB0B29" w:rsidRDefault="00AB0B29">
    <w:pPr>
      <w:pStyle w:val="Cabealho"/>
    </w:pPr>
  </w:p>
  <w:p w:rsidR="00AB0B29" w:rsidRDefault="00AB0B29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B29" w:rsidRDefault="00AB0B2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25D"/>
    <w:rsid w:val="00080DA8"/>
    <w:rsid w:val="000F225D"/>
    <w:rsid w:val="0031307D"/>
    <w:rsid w:val="00726717"/>
    <w:rsid w:val="00AB0B29"/>
    <w:rsid w:val="00BF53B7"/>
    <w:rsid w:val="00CE24F2"/>
    <w:rsid w:val="00E869CE"/>
    <w:rsid w:val="00FB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25D"/>
    <w:rPr>
      <w:rFonts w:eastAsiaTheme="minorHAns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B0B29"/>
  </w:style>
  <w:style w:type="paragraph" w:styleId="Rodap">
    <w:name w:val="footer"/>
    <w:basedOn w:val="Normal"/>
    <w:link w:val="Rodap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B0B29"/>
  </w:style>
  <w:style w:type="paragraph" w:styleId="Textodebalo">
    <w:name w:val="Balloon Text"/>
    <w:basedOn w:val="Normal"/>
    <w:link w:val="TextodebaloChar"/>
    <w:uiPriority w:val="99"/>
    <w:semiHidden/>
    <w:unhideWhenUsed/>
    <w:rsid w:val="00AB0B29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B2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B0B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25D"/>
    <w:rPr>
      <w:rFonts w:eastAsiaTheme="minorHAnsi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B0B29"/>
  </w:style>
  <w:style w:type="paragraph" w:styleId="Rodap">
    <w:name w:val="footer"/>
    <w:basedOn w:val="Normal"/>
    <w:link w:val="RodapChar"/>
    <w:uiPriority w:val="99"/>
    <w:unhideWhenUsed/>
    <w:rsid w:val="00AB0B29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B0B29"/>
  </w:style>
  <w:style w:type="paragraph" w:styleId="Textodebalo">
    <w:name w:val="Balloon Text"/>
    <w:basedOn w:val="Normal"/>
    <w:link w:val="TextodebaloChar"/>
    <w:uiPriority w:val="99"/>
    <w:semiHidden/>
    <w:unhideWhenUsed/>
    <w:rsid w:val="00AB0B29"/>
    <w:pPr>
      <w:spacing w:after="0" w:line="240" w:lineRule="auto"/>
    </w:pPr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B2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B0B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ER\AppData\Roaming\Microsoft\Modelos\PAPEL%20TIMBRADO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MUNICÍPIO</Template>
  <TotalTime>46</TotalTime>
  <Pages>19</Pages>
  <Words>4529</Words>
  <Characters>24460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</cp:revision>
  <dcterms:created xsi:type="dcterms:W3CDTF">2022-04-13T16:40:00Z</dcterms:created>
  <dcterms:modified xsi:type="dcterms:W3CDTF">2022-04-13T17:26:00Z</dcterms:modified>
</cp:coreProperties>
</file>