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 w:right="-43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PROJETO DE LEI Nº ___/2026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10795</wp:posOffset>
                </wp:positionV>
                <wp:extent cx="3789045" cy="959485"/>
                <wp:effectExtent l="0" t="0" r="0" b="0"/>
                <wp:wrapSquare wrapText="bothSides"/>
                <wp:docPr id="6" name="_x0000_s20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3789405" cy="10322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  <w:t xml:space="preserve">INSTITUI 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A CAMPANHA MUNICIPAL DE CONSCIENTIZAÇÃO SOBRE OS RISCOS À SAÚDE DE CRIANÇAS E ADOLESCENTES DECORRENTES DO USO DE CIGARROS ELETRÔNICOS, E DÁ OUTRAS PROVIDÊNCIAS.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</w:p>
                        </w:txbxContent>
                      </wps:txbx>
                      <wps:bodyPr wrap="square" lIns="91440" tIns="45720" rIns="91440" bIns="4572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8" o:spid="_x0000_s8" o:spt="202" type="#_x0000_t202" style="position:absolute;z-index:251661312;o:allowoverlap:true;o:allowincell:true;mso-position-horizontal-relative:text;margin-left:176.25pt;mso-position-horizontal:absolute;mso-position-vertical-relative:text;margin-top:0.85pt;mso-position-vertical:absolute;width:298.35pt;height:75.55pt;mso-wrap-distance-left:9.00pt;mso-wrap-distance-top:3.60pt;mso-wrap-distance-right:9.00pt;mso-wrap-distance-bottom:3.60pt;visibility:visible;" fillcolor="#FFFFFF" stroked="f">
                <w10:wrap type="square"/>
                <v:textbox inset="0,0,0,0">
                  <w:txbxContent>
                    <w:p>
                      <w:pPr>
                        <w:pBdr/>
                        <w:spacing/>
                        <w:ind/>
                        <w:jc w:val="both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eastAsia="Arial" w:cs="Arial"/>
                          <w:b/>
                          <w:bCs/>
                          <w:sz w:val="28"/>
                          <w:szCs w:val="28"/>
                        </w:rPr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color w:val="000000"/>
                          <w:sz w:val="24"/>
                        </w:rPr>
                        <w:t xml:space="preserve">INSTITUI </w:t>
                      </w:r>
                      <w:r>
                        <w:rPr>
                          <w:b/>
                          <w:bCs/>
                        </w:rPr>
                        <w:t xml:space="preserve">A CAMPANHA MUNICIPAL DE CONSCIENTIZAÇÃO SOBRE OS RISCOS À SAÚDE DE CRIANÇAS E ADOLESCENTES DECORRENTES DO USO DE CIGARROS ELETRÔNICOS, E DÁ OUTRAS PROVIDÊNCIAS.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color w:val="000000"/>
                          <w:sz w:val="24"/>
                        </w:rPr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z w:val="28"/>
                          <w:szCs w:val="28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/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>
          <w:b/>
          <w:bCs/>
        </w:rPr>
      </w:pPr>
      <w:r>
        <w:rPr>
          <w:b/>
          <w:bCs/>
        </w:rPr>
        <w:t xml:space="preserve">A CÂMARA MUNICIPAL DE MACAÉ decreta:</w:t>
      </w:r>
      <w:r>
        <w:rPr>
          <w:b/>
          <w:bCs/>
        </w:rPr>
      </w:r>
      <w:r>
        <w:rPr>
          <w:b/>
          <w:bCs/>
        </w:rPr>
      </w:r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jc w:val="both"/>
        <w:rPr>
          <w:rFonts w:ascii="Arial" w:hAnsi="Arial" w:cs="Arial"/>
          <w:sz w:val="24"/>
          <w:szCs w:val="24"/>
        </w:rPr>
      </w:pPr>
      <w:r>
        <w:rPr>
          <w:b/>
          <w:bCs/>
        </w:rPr>
        <w:t xml:space="preserve">Art. 1º </w:t>
      </w:r>
      <w:r>
        <w:rPr>
          <w:rFonts w:ascii="Arial" w:hAnsi="Arial" w:eastAsia="Arial" w:cs="Arial"/>
          <w:color w:val="000000"/>
          <w:sz w:val="24"/>
        </w:rPr>
        <w:t xml:space="preserve">Fica instituída, no âmbito do Município de Macaé, a Campanha Municipal de Conscientização sobre os Riscos à Saúde de Crianças e Adolescentes Decorrentes do Uso de Cigarros Eletrônicos.</w:t>
      </w:r>
      <w:r>
        <w:rPr>
          <w:rFonts w:ascii="Arial" w:hAnsi="Arial" w:eastAsia="Arial" w:cs="Arial"/>
          <w:color w:val="000000"/>
          <w:sz w:val="24"/>
        </w:rPr>
      </w:r>
      <w:r>
        <w:rPr>
          <w:rFonts w:ascii="Arial" w:hAnsi="Arial" w:eastAsia="Arial" w:cs="Arial"/>
          <w:sz w:val="24"/>
          <w:szCs w:val="24"/>
        </w:rPr>
      </w:r>
    </w:p>
    <w:p>
      <w:pPr>
        <w:pBdr/>
        <w:spacing/>
        <w:ind w:right="-4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  <w:r>
        <w:rPr>
          <w:rFonts w:ascii="Arial" w:hAnsi="Arial" w:eastAsia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b/>
          <w:bCs/>
        </w:rPr>
        <w:t xml:space="preserve">Art. 2º</w:t>
      </w:r>
      <w:r>
        <w:t xml:space="preserve"> </w:t>
      </w:r>
      <w:r>
        <w:rPr>
          <w:sz w:val="24"/>
          <w:szCs w:val="24"/>
        </w:rPr>
        <w:t xml:space="preserve">A campanha tem como objetivos: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I – promover ações educativas e informativas sobre os riscos à saúde relacionados ao uso de cigarros eletrônicos e dispositivos eletrônicos para fumar;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sz w:val="24"/>
          <w:szCs w:val="24"/>
        </w:rPr>
        <w:t xml:space="preserve">II – conscientizar crianças, adolescentes, pais, responsáveis e a comunidade escolar acerca dos prejuízos causados pelo consumo desses dispositivos;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sz w:val="24"/>
          <w:szCs w:val="24"/>
        </w:rPr>
        <w:t xml:space="preserve">III – incentivar hábitos de vida saudáveis e ações preventivas voltadas à proteção da saúde da população infantojuvenil;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sz w:val="24"/>
          <w:szCs w:val="24"/>
        </w:rPr>
        <w:t xml:space="preserve">IV – apoiar iniciativas de prevenção ao uso de produtos fumígenos entre crianças e adolescentes.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/>
      <w:r>
        <w:rPr>
          <w:sz w:val="24"/>
          <w:szCs w:val="24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/>
      <w:r>
        <w:rPr>
          <w:sz w:val="24"/>
          <w:szCs w:val="24"/>
        </w:rPr>
        <w:t xml:space="preserve">.</w:t>
      </w:r>
      <w:r>
        <w:rPr>
          <w:b/>
          <w:bCs/>
        </w:rPr>
        <w:t xml:space="preserve">Art. 3º</w:t>
      </w:r>
      <w:r>
        <w:t xml:space="preserve"> </w:t>
      </w:r>
      <w:r>
        <w:rPr>
          <w:sz w:val="24"/>
          <w:szCs w:val="24"/>
        </w:rPr>
        <w:t xml:space="preserve">A campanha poderá ser desenvolvida por meio de ações educativas, palestras, campanhas informativas, distribuição de materiais educativos e outras atividades de conscientização, podendo ocorrer em escolas, unidades de saúde e demais espaços públicos.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b/>
          <w:bCs/>
        </w:rPr>
        <w:t xml:space="preserve">Art. 4º</w:t>
      </w:r>
      <w:r>
        <w:t xml:space="preserve"> </w:t>
      </w:r>
      <w:r>
        <w:rPr>
          <w:sz w:val="24"/>
          <w:szCs w:val="24"/>
        </w:rPr>
        <w:t xml:space="preserve">O Poder Executivo poderá promover parcerias e cooperação com instituições públicas, privadas e organizações da sociedade civil para a realização das ações previstas nesta Lei.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</w:rPr>
      </w:pPr>
      <w:r/>
      <w:r>
        <w:rPr>
          <w:sz w:val="24"/>
          <w:szCs w:val="24"/>
        </w:rPr>
      </w:r>
      <w:r/>
    </w:p>
    <w:p>
      <w:pPr>
        <w:pBdr/>
        <w:spacing/>
        <w:ind w:right="-43"/>
        <w:rPr>
          <w:rFonts w:ascii="Arial" w:hAnsi="Arial" w:cs="Arial"/>
          <w:highlight w:val="none"/>
        </w:rPr>
      </w:pPr>
      <w:r>
        <w:t xml:space="preserve"> </w:t>
      </w:r>
      <w:r>
        <w:rPr>
          <w:b/>
          <w:bCs/>
        </w:rPr>
        <w:t xml:space="preserve">Art. 5º</w:t>
      </w:r>
      <w:r>
        <w:t xml:space="preserve"> </w:t>
      </w:r>
      <w:r>
        <w:rPr>
          <w:sz w:val="24"/>
          <w:szCs w:val="24"/>
        </w:rPr>
        <w:t xml:space="preserve">A execução das ações previstas nesta Lei ocorrerá conforme disponibilidade orçamentária e financeira do Poder Executivo.</w:t>
      </w:r>
      <w:r>
        <w:rPr>
          <w:rFonts w:ascii="Arial" w:hAnsi="Arial" w:eastAsia="Arial" w:cs="Arial"/>
          <w:color w:val="000000"/>
          <w:sz w:val="24"/>
        </w:rPr>
      </w:r>
      <w:r>
        <w:rPr>
          <w:rFonts w:ascii="Arial" w:hAnsi="Arial" w:eastAsia="Arial" w:cs="Arial"/>
        </w:rPr>
      </w:r>
    </w:p>
    <w:p>
      <w:pPr>
        <w:pBdr/>
        <w:spacing/>
        <w:ind w:right="-43"/>
        <w:rPr/>
      </w:pP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</w:rPr>
      </w:pPr>
      <w:r>
        <w:rPr>
          <w:b/>
          <w:bCs/>
        </w:rPr>
        <w:t xml:space="preserve">Art. 6º</w:t>
      </w:r>
      <w:r>
        <w:t xml:space="preserve"> </w:t>
      </w:r>
      <w:r>
        <w:rPr>
          <w:sz w:val="24"/>
          <w:szCs w:val="24"/>
        </w:rPr>
        <w:t xml:space="preserve">Esta Lei entra em vigor na data de sua publicação.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jc w:val="center"/>
        <w:rPr>
          <w:b/>
          <w:bCs/>
          <w:highlight w:val="none"/>
        </w:rPr>
      </w:pPr>
      <w:r>
        <w:rPr>
          <w:b/>
          <w:bCs/>
        </w:rPr>
        <w:t xml:space="preserve">JUSTIFICATIVA</w:t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pBdr/>
        <w:spacing/>
        <w:ind w:right="-43"/>
        <w:rPr/>
      </w:pP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</w:rPr>
      </w:pPr>
      <w:r>
        <w:rPr>
          <w:rFonts w:ascii="Arial" w:hAnsi="Arial" w:eastAsia="Arial" w:cs="Arial"/>
          <w:color w:val="000000"/>
          <w:sz w:val="24"/>
        </w:rPr>
        <w:t xml:space="preserve">O presente Projeto de Lei tem como finalidade instituir, no Município de Macaé, campanha de conscientização sobre os riscos à saúde decorrentes do uso de cigarros eletrônicos por crianças e adolescentes.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</w:rPr>
      </w:pPr>
      <w:r>
        <w:rPr>
          <w:rFonts w:ascii="Arial" w:hAnsi="Arial" w:eastAsia="Arial" w:cs="Arial"/>
          <w:color w:val="000000"/>
          <w:sz w:val="24"/>
        </w:rPr>
        <w:t xml:space="preserve">O crescimento do uso desses dispositivos entre jovens tem gerado preocupação em razão dos impactos à saúde pública, especialmente pela presença de nicotina e outras substâncias químicas potencialmente nocivas ao desenvolvimento físico e mental.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A proposta possui caráter exclusivamente educativo e preventivo, buscando ampliar o acesso à informação e estimular ações de conscientização junto à comunidade escolar e à população em geral, sem criar obrigações administrativas excessivas ao Poder Executi</w:t>
      </w:r>
      <w:r>
        <w:rPr>
          <w:rFonts w:ascii="Arial" w:hAnsi="Arial" w:eastAsia="Arial" w:cs="Arial"/>
          <w:color w:val="000000"/>
          <w:sz w:val="24"/>
        </w:rPr>
        <w:t xml:space="preserve">vo.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Ressalta-se que a presente iniciativa encontra respaldo na Lei Estadual nº 23.566/2025, do Estado de Goiás, que instituiu campanha semelhante em âmbito estadual, servindo como referência legislativa para o desenvolvimento desta proposição.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Importante destacar que o projeto respeita os princípios constitucionais da separação dos poderes e da reserva de iniciativa do Executivo, uma vez que não cria cargos, despesas obrigatórias, estruturas administrativas ou atribuições específicas aos órgãos </w:t>
      </w:r>
      <w:r>
        <w:rPr>
          <w:rFonts w:ascii="Arial" w:hAnsi="Arial" w:eastAsia="Arial" w:cs="Arial"/>
          <w:color w:val="000000"/>
          <w:sz w:val="24"/>
        </w:rPr>
        <w:t xml:space="preserve">municipais, limitando-se à instituição de diretriz de interesse público voltada à promoção da saúde e prevenção.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Diante da relevância do tema para a proteção da infância e da juventude, contamos com o apoio dos Nobres Vereadores para aprovação da presente matéria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.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</w:rPr>
      </w:pPr>
      <w:r>
        <w:rPr>
          <w:rFonts w:ascii="Arial" w:hAnsi="Arial" w:eastAsia="Arial" w:cs="Arial"/>
          <w:color w:val="000000"/>
          <w:sz w:val="24"/>
        </w:rPr>
      </w:r>
      <w:r>
        <w:rPr>
          <w:rFonts w:ascii="Arial" w:hAnsi="Arial" w:eastAsia="Arial" w:cs="Arial"/>
        </w:rPr>
      </w:r>
    </w:p>
    <w:p>
      <w:pPr>
        <w:pBdr/>
        <w:spacing/>
        <w:ind w:right="-43"/>
        <w:jc w:val="both"/>
        <w:rPr>
          <w:rFonts w:ascii="Arial" w:hAnsi="Arial" w:cs="Arial"/>
        </w:rPr>
      </w:pPr>
      <w:r>
        <w:rPr>
          <w:rFonts w:ascii="Arial" w:hAnsi="Arial" w:eastAsia="Arial" w:cs="Arial"/>
        </w:rPr>
      </w:r>
      <w:r>
        <w:rPr>
          <w:rFonts w:ascii="Arial" w:hAnsi="Arial" w:cs="Arial"/>
        </w:rPr>
      </w:r>
    </w:p>
    <w:p>
      <w:pPr>
        <w:pStyle w:val="105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>
        <w:rPr>
          <w:b/>
          <w:sz w:val="24"/>
          <w:szCs w:val="24"/>
        </w:rPr>
        <w:t xml:space="preserve">08 de maio</w:t>
      </w:r>
      <w:r>
        <w:rPr>
          <w:b/>
          <w:sz w:val="24"/>
          <w:szCs w:val="24"/>
        </w:rPr>
        <w:t xml:space="preserve"> de 2026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– Autora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9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39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7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12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8"/>
  </w:num>
  <w:num w:numId="7">
    <w:abstractNumId w:val="10"/>
  </w:num>
  <w:num w:numId="8">
    <w:abstractNumId w:val="4"/>
  </w:num>
  <w:num w:numId="9">
    <w:abstractNumId w:val="6"/>
  </w:num>
  <w:num w:numId="10">
    <w:abstractNumId w:val="9"/>
  </w:num>
  <w:num w:numId="11">
    <w:abstractNumId w:val="13"/>
  </w:num>
  <w:num w:numId="12">
    <w:abstractNumId w:val="7"/>
  </w:num>
  <w:num w:numId="13">
    <w:abstractNumId w:val="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45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46">
    <w:name w:val="Heading 1"/>
    <w:basedOn w:val="845"/>
    <w:next w:val="845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47">
    <w:name w:val="Heading 2"/>
    <w:basedOn w:val="845"/>
    <w:next w:val="845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48">
    <w:name w:val="Heading 3"/>
    <w:basedOn w:val="845"/>
    <w:next w:val="845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49">
    <w:name w:val="Heading 4"/>
    <w:basedOn w:val="845"/>
    <w:next w:val="845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50">
    <w:name w:val="Heading 5"/>
    <w:basedOn w:val="845"/>
    <w:next w:val="845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51">
    <w:name w:val="Heading 6"/>
    <w:basedOn w:val="845"/>
    <w:next w:val="845"/>
    <w:link w:val="1016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52">
    <w:name w:val="Heading 7"/>
    <w:basedOn w:val="845"/>
    <w:next w:val="845"/>
    <w:link w:val="1017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53">
    <w:name w:val="Heading 8"/>
    <w:basedOn w:val="845"/>
    <w:next w:val="845"/>
    <w:link w:val="1018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54">
    <w:name w:val="Heading 9"/>
    <w:basedOn w:val="845"/>
    <w:next w:val="845"/>
    <w:link w:val="1019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55" w:default="1">
    <w:name w:val="Default Paragraph Font"/>
    <w:uiPriority w:val="1"/>
    <w:semiHidden/>
    <w:unhideWhenUsed/>
    <w:pPr>
      <w:pBdr/>
      <w:spacing/>
      <w:ind/>
    </w:pPr>
  </w:style>
  <w:style w:type="table" w:styleId="856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7" w:default="1">
    <w:name w:val="No List"/>
    <w:uiPriority w:val="99"/>
    <w:semiHidden/>
    <w:unhideWhenUsed/>
    <w:pPr>
      <w:pBdr/>
      <w:spacing/>
      <w:ind/>
    </w:pPr>
  </w:style>
  <w:style w:type="character" w:styleId="858" w:customStyle="1">
    <w:name w:val="Heading 1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59" w:customStyle="1">
    <w:name w:val="Heading 2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60" w:customStyle="1">
    <w:name w:val="Heading 3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61" w:customStyle="1">
    <w:name w:val="Heading 4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62" w:customStyle="1">
    <w:name w:val="Heading 5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63" w:customStyle="1">
    <w:name w:val="Heading 6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4" w:customStyle="1">
    <w:name w:val="Heading 7 Char"/>
    <w:basedOn w:val="85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5" w:customStyle="1">
    <w:name w:val="Heading 8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6" w:customStyle="1">
    <w:name w:val="Heading 9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7" w:customStyle="1">
    <w:name w:val="Title Char"/>
    <w:basedOn w:val="85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68" w:customStyle="1">
    <w:name w:val="Subtitle Char"/>
    <w:basedOn w:val="85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69" w:customStyle="1">
    <w:name w:val="Quote Char"/>
    <w:basedOn w:val="85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70" w:customStyle="1">
    <w:name w:val="Intense Quote Char"/>
    <w:basedOn w:val="855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71" w:customStyle="1">
    <w:name w:val="Header Char"/>
    <w:basedOn w:val="855"/>
    <w:uiPriority w:val="99"/>
    <w:pPr>
      <w:pBdr/>
      <w:spacing/>
      <w:ind/>
    </w:pPr>
  </w:style>
  <w:style w:type="character" w:styleId="872" w:customStyle="1">
    <w:name w:val="Footer Char"/>
    <w:basedOn w:val="855"/>
    <w:uiPriority w:val="99"/>
    <w:pPr>
      <w:pBdr/>
      <w:spacing/>
      <w:ind/>
    </w:pPr>
  </w:style>
  <w:style w:type="character" w:styleId="873" w:customStyle="1">
    <w:name w:val="Footnote Text Char"/>
    <w:basedOn w:val="855"/>
    <w:uiPriority w:val="99"/>
    <w:semiHidden/>
    <w:pPr>
      <w:pBdr/>
      <w:spacing/>
      <w:ind/>
    </w:pPr>
    <w:rPr>
      <w:sz w:val="20"/>
      <w:szCs w:val="20"/>
    </w:rPr>
  </w:style>
  <w:style w:type="character" w:styleId="874" w:customStyle="1">
    <w:name w:val="Endnote Text Char"/>
    <w:basedOn w:val="855"/>
    <w:uiPriority w:val="99"/>
    <w:semiHidden/>
    <w:pPr>
      <w:pBdr/>
      <w:spacing/>
      <w:ind/>
    </w:pPr>
    <w:rPr>
      <w:sz w:val="20"/>
      <w:szCs w:val="20"/>
    </w:rPr>
  </w:style>
  <w:style w:type="paragraph" w:styleId="875">
    <w:name w:val="toc 1"/>
    <w:basedOn w:val="845"/>
    <w:next w:val="845"/>
    <w:uiPriority w:val="39"/>
    <w:unhideWhenUsed/>
    <w:pPr>
      <w:pBdr/>
      <w:spacing w:after="100"/>
      <w:ind/>
    </w:pPr>
  </w:style>
  <w:style w:type="paragraph" w:styleId="876">
    <w:name w:val="toc 2"/>
    <w:basedOn w:val="845"/>
    <w:next w:val="845"/>
    <w:uiPriority w:val="39"/>
    <w:unhideWhenUsed/>
    <w:pPr>
      <w:pBdr/>
      <w:spacing w:after="100"/>
      <w:ind w:left="220"/>
    </w:pPr>
  </w:style>
  <w:style w:type="paragraph" w:styleId="877">
    <w:name w:val="toc 3"/>
    <w:basedOn w:val="845"/>
    <w:next w:val="845"/>
    <w:uiPriority w:val="39"/>
    <w:unhideWhenUsed/>
    <w:pPr>
      <w:pBdr/>
      <w:spacing w:after="100"/>
      <w:ind w:left="440"/>
    </w:pPr>
  </w:style>
  <w:style w:type="paragraph" w:styleId="878">
    <w:name w:val="toc 4"/>
    <w:basedOn w:val="845"/>
    <w:next w:val="845"/>
    <w:uiPriority w:val="39"/>
    <w:unhideWhenUsed/>
    <w:pPr>
      <w:pBdr/>
      <w:spacing w:after="100"/>
      <w:ind w:left="660"/>
    </w:pPr>
  </w:style>
  <w:style w:type="paragraph" w:styleId="879">
    <w:name w:val="toc 5"/>
    <w:basedOn w:val="845"/>
    <w:next w:val="845"/>
    <w:uiPriority w:val="39"/>
    <w:unhideWhenUsed/>
    <w:pPr>
      <w:pBdr/>
      <w:spacing w:after="100"/>
      <w:ind w:left="880"/>
    </w:pPr>
  </w:style>
  <w:style w:type="paragraph" w:styleId="880">
    <w:name w:val="toc 6"/>
    <w:basedOn w:val="845"/>
    <w:next w:val="845"/>
    <w:uiPriority w:val="39"/>
    <w:unhideWhenUsed/>
    <w:pPr>
      <w:pBdr/>
      <w:spacing w:after="100"/>
      <w:ind w:left="1100"/>
    </w:pPr>
  </w:style>
  <w:style w:type="paragraph" w:styleId="881">
    <w:name w:val="toc 7"/>
    <w:basedOn w:val="845"/>
    <w:next w:val="845"/>
    <w:uiPriority w:val="39"/>
    <w:unhideWhenUsed/>
    <w:pPr>
      <w:pBdr/>
      <w:spacing w:after="100"/>
      <w:ind w:left="1320"/>
    </w:pPr>
  </w:style>
  <w:style w:type="paragraph" w:styleId="882">
    <w:name w:val="toc 8"/>
    <w:basedOn w:val="845"/>
    <w:next w:val="845"/>
    <w:uiPriority w:val="39"/>
    <w:unhideWhenUsed/>
    <w:pPr>
      <w:pBdr/>
      <w:spacing w:after="100"/>
      <w:ind w:left="1540"/>
    </w:pPr>
  </w:style>
  <w:style w:type="paragraph" w:styleId="883">
    <w:name w:val="toc 9"/>
    <w:basedOn w:val="845"/>
    <w:next w:val="845"/>
    <w:uiPriority w:val="39"/>
    <w:unhideWhenUsed/>
    <w:pPr>
      <w:pBdr/>
      <w:spacing w:after="100"/>
      <w:ind w:left="1760"/>
    </w:pPr>
  </w:style>
  <w:style w:type="character" w:styleId="884">
    <w:name w:val="Placeholder Text"/>
    <w:basedOn w:val="855"/>
    <w:uiPriority w:val="99"/>
    <w:semiHidden/>
    <w:pPr>
      <w:pBdr/>
      <w:spacing/>
      <w:ind/>
    </w:pPr>
    <w:rPr>
      <w:color w:val="666666"/>
    </w:rPr>
  </w:style>
  <w:style w:type="table" w:styleId="885">
    <w:name w:val="Table Grid"/>
    <w:basedOn w:val="856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Table Grid Light"/>
    <w:basedOn w:val="85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Plain Table 1"/>
    <w:basedOn w:val="85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Plain Table 2"/>
    <w:basedOn w:val="856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Plain Table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Plain Table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Plain Table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1 Light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1 Light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1 Light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1 Light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1 Light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1 Light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1 Light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2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2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2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2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2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2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3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3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3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3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3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3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4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4 - Accent 1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4 - Accent 2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4 - Accent 3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4 - Accent 4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4 - Accent 5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4 - Accent 6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5 Dark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5 Dark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5 Dark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5 Dark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5 Dark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5 Dark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5 Dark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6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6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6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6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6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6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6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Grid Table 7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7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7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7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7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7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7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1 Light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1 Light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1 Light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1 Light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1 Light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1 Light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1 Light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2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2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2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2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2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2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3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3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3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3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3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3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4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4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4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4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4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4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5 Dark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5 Dark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5 Dark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5 Dark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5 Dark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5 Dark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5 Dark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6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6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6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6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6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6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6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st Table 7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7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7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7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7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7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7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ned - Accent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ned - Accent 1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ned - Accent 2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ned - Accent 3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ned - Accent 4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ned - Accent 5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ned - Accent 6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Bordered &amp; Lined - Accent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Bordered &amp; Lined - Accent 1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&amp; Lined - Accent 2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&amp; Lined - Accent 3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&amp; Lined - Accent 4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&amp; Lined - Accent 5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&amp; Lined - Accent 6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Bordered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Bordered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Bordered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Bordered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11" w:customStyle="1">
    <w:name w:val="Título 1 Char"/>
    <w:basedOn w:val="855"/>
    <w:link w:val="84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12" w:customStyle="1">
    <w:name w:val="Título 2 Char"/>
    <w:basedOn w:val="855"/>
    <w:link w:val="84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13" w:customStyle="1">
    <w:name w:val="Título 3 Char"/>
    <w:basedOn w:val="855"/>
    <w:link w:val="84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14" w:customStyle="1">
    <w:name w:val="Título 4 Char"/>
    <w:basedOn w:val="855"/>
    <w:link w:val="849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15" w:customStyle="1">
    <w:name w:val="Título 5 Char"/>
    <w:basedOn w:val="855"/>
    <w:link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6" w:customStyle="1">
    <w:name w:val="Título 6 Char"/>
    <w:basedOn w:val="855"/>
    <w:link w:val="85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 w:customStyle="1">
    <w:name w:val="Título 7 Char"/>
    <w:basedOn w:val="855"/>
    <w:link w:val="85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 w:customStyle="1">
    <w:name w:val="Título 8 Char"/>
    <w:basedOn w:val="855"/>
    <w:link w:val="85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 w:customStyle="1">
    <w:name w:val="Título 9 Char"/>
    <w:basedOn w:val="855"/>
    <w:link w:val="85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845"/>
    <w:next w:val="845"/>
    <w:link w:val="1021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21" w:customStyle="1">
    <w:name w:val="Título Char"/>
    <w:basedOn w:val="855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845"/>
    <w:next w:val="845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 w:customStyle="1">
    <w:name w:val="Subtítulo Char"/>
    <w:basedOn w:val="855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845"/>
    <w:next w:val="845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 w:customStyle="1">
    <w:name w:val="Citação Char"/>
    <w:basedOn w:val="855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855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28">
    <w:name w:val="Intense Quote"/>
    <w:basedOn w:val="845"/>
    <w:next w:val="845"/>
    <w:link w:val="1029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29" w:customStyle="1">
    <w:name w:val="Citação Intensa Char"/>
    <w:basedOn w:val="855"/>
    <w:link w:val="1028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30">
    <w:name w:val="Intense Reference"/>
    <w:basedOn w:val="855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31">
    <w:name w:val="No Spacing"/>
    <w:basedOn w:val="845"/>
    <w:uiPriority w:val="1"/>
    <w:qFormat/>
    <w:pPr>
      <w:pBdr/>
      <w:spacing w:line="240" w:lineRule="auto"/>
      <w:ind/>
    </w:pPr>
  </w:style>
  <w:style w:type="character" w:styleId="1032">
    <w:name w:val="Subtle Emphasis"/>
    <w:basedOn w:val="85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855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855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85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85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845"/>
    <w:link w:val="1038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8" w:customStyle="1">
    <w:name w:val="Cabeçalho Char"/>
    <w:basedOn w:val="855"/>
    <w:link w:val="1037"/>
    <w:uiPriority w:val="99"/>
    <w:pPr>
      <w:pBdr/>
      <w:spacing/>
      <w:ind/>
    </w:pPr>
  </w:style>
  <w:style w:type="paragraph" w:styleId="1039">
    <w:name w:val="Footer"/>
    <w:basedOn w:val="845"/>
    <w:link w:val="1040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0" w:customStyle="1">
    <w:name w:val="Rodapé Char"/>
    <w:basedOn w:val="855"/>
    <w:link w:val="1039"/>
    <w:uiPriority w:val="99"/>
    <w:pPr>
      <w:pBdr/>
      <w:spacing/>
      <w:ind/>
    </w:pPr>
  </w:style>
  <w:style w:type="paragraph" w:styleId="1041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42">
    <w:name w:val="footnote text"/>
    <w:basedOn w:val="845"/>
    <w:link w:val="1043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3" w:customStyle="1">
    <w:name w:val="Texto de nota de rodapé Char"/>
    <w:basedOn w:val="855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855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845"/>
    <w:link w:val="1046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6" w:customStyle="1">
    <w:name w:val="Texto de nota de fim Char"/>
    <w:basedOn w:val="855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855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Hyperlink"/>
    <w:basedOn w:val="855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49">
    <w:name w:val="FollowedHyperlink"/>
    <w:basedOn w:val="855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50">
    <w:name w:val="TOC Heading"/>
    <w:uiPriority w:val="39"/>
    <w:unhideWhenUsed/>
    <w:pPr>
      <w:pBdr/>
      <w:spacing/>
      <w:ind/>
    </w:pPr>
  </w:style>
  <w:style w:type="paragraph" w:styleId="1051">
    <w:name w:val="table of figures"/>
    <w:basedOn w:val="845"/>
    <w:next w:val="845"/>
    <w:uiPriority w:val="99"/>
    <w:unhideWhenUsed/>
    <w:pPr>
      <w:pBdr/>
      <w:spacing/>
      <w:ind/>
    </w:pPr>
  </w:style>
  <w:style w:type="paragraph" w:styleId="1052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11</cp:revision>
  <dcterms:created xsi:type="dcterms:W3CDTF">2026-04-09T21:08:00Z</dcterms:created>
  <dcterms:modified xsi:type="dcterms:W3CDTF">2026-05-08T16:55:39Z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