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3949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284</w:t>
        <w:tab/>
        <w:t>de</w:t>
      </w:r>
      <w:r>
        <w:rPr>
          <w:spacing w:val="1"/>
        </w:rPr>
        <w:t> </w:t>
      </w:r>
      <w:r>
        <w:rPr/>
        <w:t>22</w:t>
      </w:r>
      <w:r>
        <w:rPr>
          <w:spacing w:val="48"/>
        </w:rPr>
        <w:t> </w:t>
      </w:r>
      <w:r>
        <w:rPr/>
        <w:t>de</w:t>
      </w:r>
      <w:r>
        <w:rPr>
          <w:spacing w:val="1"/>
        </w:rPr>
        <w:t> </w:t>
      </w:r>
      <w:r>
        <w:rPr/>
        <w:t>fevereiro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1995.</w:t>
      </w:r>
    </w:p>
    <w:p>
      <w:pPr>
        <w:pStyle w:val="BodyText"/>
        <w:spacing w:before="1"/>
      </w:pPr>
    </w:p>
    <w:p>
      <w:pPr>
        <w:pStyle w:val="BodyText"/>
        <w:ind w:left="5215" w:right="1912"/>
      </w:pPr>
      <w:r>
        <w:rPr/>
        <w:t>“Dispõe sobre os novos vencimentos dos</w:t>
      </w:r>
      <w:r>
        <w:rPr>
          <w:spacing w:val="-47"/>
        </w:rPr>
        <w:t> </w:t>
      </w:r>
      <w:r>
        <w:rPr/>
        <w:t>servidores públicos municipais e dá</w:t>
      </w:r>
      <w:r>
        <w:rPr>
          <w:spacing w:val="1"/>
        </w:rPr>
        <w:t> </w:t>
      </w:r>
      <w:r>
        <w:rPr/>
        <w:t>outras</w:t>
      </w:r>
      <w:r>
        <w:rPr>
          <w:spacing w:val="-2"/>
        </w:rPr>
        <w:t> </w:t>
      </w:r>
      <w:r>
        <w:rPr/>
        <w:t>providências.”</w:t>
      </w:r>
    </w:p>
    <w:p>
      <w:pPr>
        <w:pStyle w:val="BodyText"/>
        <w:spacing w:before="4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2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ind w:left="112" w:firstLine="708"/>
      </w:pPr>
      <w:r>
        <w:rPr/>
        <w:t>Art.</w:t>
      </w:r>
      <w:r>
        <w:rPr>
          <w:spacing w:val="30"/>
        </w:rPr>
        <w:t> </w:t>
      </w:r>
      <w:r>
        <w:rPr/>
        <w:t>1°</w:t>
      </w:r>
      <w:r>
        <w:rPr>
          <w:spacing w:val="33"/>
        </w:rPr>
        <w:t> </w:t>
      </w:r>
      <w:r>
        <w:rPr/>
        <w:t>-</w:t>
      </w:r>
      <w:r>
        <w:rPr>
          <w:spacing w:val="29"/>
        </w:rPr>
        <w:t> </w:t>
      </w:r>
      <w:r>
        <w:rPr/>
        <w:t>Ficam</w:t>
      </w:r>
      <w:r>
        <w:rPr>
          <w:spacing w:val="29"/>
        </w:rPr>
        <w:t> </w:t>
      </w:r>
      <w:r>
        <w:rPr/>
        <w:t>aprovados</w:t>
      </w:r>
      <w:r>
        <w:rPr>
          <w:spacing w:val="29"/>
        </w:rPr>
        <w:t> </w:t>
      </w:r>
      <w:r>
        <w:rPr/>
        <w:t>os</w:t>
      </w:r>
      <w:r>
        <w:rPr>
          <w:spacing w:val="29"/>
        </w:rPr>
        <w:t> </w:t>
      </w:r>
      <w:r>
        <w:rPr/>
        <w:t>novos</w:t>
      </w:r>
      <w:r>
        <w:rPr>
          <w:spacing w:val="28"/>
        </w:rPr>
        <w:t> </w:t>
      </w:r>
      <w:r>
        <w:rPr/>
        <w:t>vencimentos</w:t>
      </w:r>
      <w:r>
        <w:rPr>
          <w:spacing w:val="29"/>
        </w:rPr>
        <w:t> </w:t>
      </w:r>
      <w:r>
        <w:rPr/>
        <w:t>dos</w:t>
      </w:r>
      <w:r>
        <w:rPr>
          <w:spacing w:val="31"/>
        </w:rPr>
        <w:t> </w:t>
      </w:r>
      <w:r>
        <w:rPr/>
        <w:t>Servidores</w:t>
      </w:r>
      <w:r>
        <w:rPr>
          <w:spacing w:val="29"/>
        </w:rPr>
        <w:t> </w:t>
      </w:r>
      <w:r>
        <w:rPr/>
        <w:t>Público</w:t>
      </w:r>
      <w:r>
        <w:rPr>
          <w:spacing w:val="30"/>
        </w:rPr>
        <w:t> </w:t>
      </w:r>
      <w:r>
        <w:rPr/>
        <w:t>Municipais,</w:t>
      </w:r>
      <w:r>
        <w:rPr>
          <w:spacing w:val="33"/>
        </w:rPr>
        <w:t> </w:t>
      </w:r>
      <w:r>
        <w:rPr/>
        <w:t>para</w:t>
      </w:r>
      <w:r>
        <w:rPr>
          <w:spacing w:val="31"/>
        </w:rPr>
        <w:t> </w:t>
      </w:r>
      <w:r>
        <w:rPr/>
        <w:t>o</w:t>
      </w:r>
      <w:r>
        <w:rPr>
          <w:spacing w:val="30"/>
        </w:rPr>
        <w:t> </w:t>
      </w:r>
      <w:r>
        <w:rPr/>
        <w:t>mês</w:t>
      </w:r>
      <w:r>
        <w:rPr>
          <w:spacing w:val="29"/>
        </w:rPr>
        <w:t> </w:t>
      </w:r>
      <w:r>
        <w:rPr/>
        <w:t>de</w:t>
      </w:r>
      <w:r>
        <w:rPr>
          <w:spacing w:val="33"/>
        </w:rPr>
        <w:t> </w:t>
      </w:r>
      <w:r>
        <w:rPr/>
        <w:t>fevereiro</w:t>
      </w:r>
      <w:r>
        <w:rPr>
          <w:spacing w:val="32"/>
        </w:rPr>
        <w:t> </w:t>
      </w:r>
      <w:r>
        <w:rPr/>
        <w:t>de</w:t>
      </w:r>
      <w:r>
        <w:rPr>
          <w:spacing w:val="-47"/>
        </w:rPr>
        <w:t> </w:t>
      </w:r>
      <w:r>
        <w:rPr/>
        <w:t>1995,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4"/>
        </w:rPr>
        <w:t> </w:t>
      </w:r>
      <w:r>
        <w:rPr/>
        <w:t>anexo</w:t>
      </w:r>
      <w:r>
        <w:rPr>
          <w:spacing w:val="1"/>
        </w:rPr>
        <w:t> </w:t>
      </w:r>
      <w:r>
        <w:rPr/>
        <w:t>único</w:t>
      </w:r>
      <w:r>
        <w:rPr>
          <w:spacing w:val="1"/>
        </w:rPr>
        <w:t> </w:t>
      </w:r>
      <w:r>
        <w:rPr/>
        <w:t>constantes</w:t>
      </w:r>
      <w:r>
        <w:rPr>
          <w:spacing w:val="-1"/>
        </w:rPr>
        <w:t> </w:t>
      </w:r>
      <w:r>
        <w:rPr/>
        <w:t>da</w:t>
      </w:r>
      <w:r>
        <w:rPr>
          <w:spacing w:val="1"/>
        </w:rPr>
        <w:t> </w:t>
      </w:r>
      <w:r>
        <w:rPr/>
        <w:t>presente</w:t>
      </w:r>
      <w:r>
        <w:rPr>
          <w:spacing w:val="3"/>
        </w:rPr>
        <w:t> </w:t>
      </w:r>
      <w:r>
        <w:rPr/>
        <w:t>Lei.</w:t>
      </w:r>
    </w:p>
    <w:p>
      <w:pPr>
        <w:pStyle w:val="BodyText"/>
        <w:spacing w:before="1"/>
      </w:pPr>
    </w:p>
    <w:p>
      <w:pPr>
        <w:pStyle w:val="BodyText"/>
        <w:ind w:left="112" w:firstLine="707"/>
      </w:pPr>
      <w:r>
        <w:rPr/>
        <w:t>Art.</w:t>
      </w:r>
      <w:r>
        <w:rPr>
          <w:spacing w:val="33"/>
        </w:rPr>
        <w:t> </w:t>
      </w:r>
      <w:r>
        <w:rPr/>
        <w:t>2°</w:t>
      </w:r>
      <w:r>
        <w:rPr>
          <w:spacing w:val="31"/>
        </w:rPr>
        <w:t> </w:t>
      </w:r>
      <w:r>
        <w:rPr/>
        <w:t>-</w:t>
      </w:r>
      <w:r>
        <w:rPr>
          <w:spacing w:val="34"/>
        </w:rPr>
        <w:t> </w:t>
      </w:r>
      <w:r>
        <w:rPr/>
        <w:t>As</w:t>
      </w:r>
      <w:r>
        <w:rPr>
          <w:spacing w:val="31"/>
        </w:rPr>
        <w:t> </w:t>
      </w:r>
      <w:r>
        <w:rPr/>
        <w:t>despensas</w:t>
      </w:r>
      <w:r>
        <w:rPr>
          <w:spacing w:val="32"/>
        </w:rPr>
        <w:t> </w:t>
      </w:r>
      <w:r>
        <w:rPr/>
        <w:t>decorrentes</w:t>
      </w:r>
      <w:r>
        <w:rPr>
          <w:spacing w:val="31"/>
        </w:rPr>
        <w:t> </w:t>
      </w:r>
      <w:r>
        <w:rPr/>
        <w:t>da</w:t>
      </w:r>
      <w:r>
        <w:rPr>
          <w:spacing w:val="33"/>
        </w:rPr>
        <w:t> </w:t>
      </w:r>
      <w:r>
        <w:rPr/>
        <w:t>presente</w:t>
      </w:r>
      <w:r>
        <w:rPr>
          <w:spacing w:val="34"/>
        </w:rPr>
        <w:t> </w:t>
      </w:r>
      <w:r>
        <w:rPr/>
        <w:t>Lei</w:t>
      </w:r>
      <w:r>
        <w:rPr>
          <w:spacing w:val="32"/>
        </w:rPr>
        <w:t> </w:t>
      </w:r>
      <w:r>
        <w:rPr/>
        <w:t>correrão</w:t>
      </w:r>
      <w:r>
        <w:rPr>
          <w:spacing w:val="33"/>
        </w:rPr>
        <w:t> </w:t>
      </w:r>
      <w:r>
        <w:rPr/>
        <w:t>à</w:t>
      </w:r>
      <w:r>
        <w:rPr>
          <w:spacing w:val="31"/>
        </w:rPr>
        <w:t> </w:t>
      </w:r>
      <w:r>
        <w:rPr/>
        <w:t>conta</w:t>
      </w:r>
      <w:r>
        <w:rPr>
          <w:spacing w:val="33"/>
        </w:rPr>
        <w:t> </w:t>
      </w:r>
      <w:r>
        <w:rPr/>
        <w:t>do</w:t>
      </w:r>
      <w:r>
        <w:rPr>
          <w:spacing w:val="31"/>
        </w:rPr>
        <w:t> </w:t>
      </w:r>
      <w:r>
        <w:rPr/>
        <w:t>orçamento</w:t>
      </w:r>
      <w:r>
        <w:rPr>
          <w:spacing w:val="34"/>
        </w:rPr>
        <w:t> </w:t>
      </w:r>
      <w:r>
        <w:rPr/>
        <w:t>vigente,</w:t>
      </w:r>
      <w:r>
        <w:rPr>
          <w:spacing w:val="31"/>
        </w:rPr>
        <w:t> </w:t>
      </w:r>
      <w:r>
        <w:rPr/>
        <w:t>suplementando-se,</w:t>
      </w:r>
      <w:r>
        <w:rPr>
          <w:spacing w:val="32"/>
        </w:rPr>
        <w:t> </w:t>
      </w:r>
      <w:r>
        <w:rPr/>
        <w:t>se</w:t>
      </w:r>
      <w:r>
        <w:rPr>
          <w:spacing w:val="-47"/>
        </w:rPr>
        <w:t> </w:t>
      </w:r>
      <w:r>
        <w:rPr/>
        <w:t>necessário.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4"/>
        </w:rPr>
        <w:t> </w:t>
      </w:r>
      <w:r>
        <w:rPr/>
        <w:t>3°</w:t>
      </w:r>
      <w:r>
        <w:rPr>
          <w:spacing w:val="2"/>
        </w:rPr>
        <w:t> </w:t>
      </w:r>
      <w:r>
        <w:rPr/>
        <w:t>-</w:t>
      </w:r>
      <w:r>
        <w:rPr>
          <w:spacing w:val="5"/>
        </w:rPr>
        <w:t> </w:t>
      </w:r>
      <w:r>
        <w:rPr/>
        <w:t>A</w:t>
      </w:r>
      <w:r>
        <w:rPr>
          <w:spacing w:val="2"/>
        </w:rPr>
        <w:t> </w:t>
      </w:r>
      <w:r>
        <w:rPr/>
        <w:t>presente</w:t>
      </w:r>
      <w:r>
        <w:rPr>
          <w:spacing w:val="6"/>
        </w:rPr>
        <w:t> </w:t>
      </w:r>
      <w:r>
        <w:rPr/>
        <w:t>lei</w:t>
      </w:r>
      <w:r>
        <w:rPr>
          <w:spacing w:val="5"/>
        </w:rPr>
        <w:t> </w:t>
      </w:r>
      <w:r>
        <w:rPr/>
        <w:t>entrará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vigor</w:t>
      </w:r>
      <w:r>
        <w:rPr>
          <w:spacing w:val="6"/>
        </w:rPr>
        <w:t> </w:t>
      </w:r>
      <w:r>
        <w:rPr/>
        <w:t>na</w:t>
      </w:r>
      <w:r>
        <w:rPr>
          <w:spacing w:val="4"/>
        </w:rPr>
        <w:t> </w:t>
      </w:r>
      <w:r>
        <w:rPr/>
        <w:t>data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sua</w:t>
      </w:r>
      <w:r>
        <w:rPr>
          <w:spacing w:val="5"/>
        </w:rPr>
        <w:t> </w:t>
      </w:r>
      <w:r>
        <w:rPr/>
        <w:t>publicação,</w:t>
      </w:r>
      <w:r>
        <w:rPr>
          <w:spacing w:val="4"/>
        </w:rPr>
        <w:t> </w:t>
      </w:r>
      <w:r>
        <w:rPr/>
        <w:t>retroagindo</w:t>
      </w:r>
      <w:r>
        <w:rPr>
          <w:spacing w:val="6"/>
        </w:rPr>
        <w:t> </w:t>
      </w:r>
      <w:r>
        <w:rPr/>
        <w:t>seus</w:t>
      </w:r>
      <w:r>
        <w:rPr>
          <w:spacing w:val="3"/>
        </w:rPr>
        <w:t> </w:t>
      </w:r>
      <w:r>
        <w:rPr/>
        <w:t>efeitos</w:t>
      </w:r>
      <w:r>
        <w:rPr>
          <w:spacing w:val="2"/>
        </w:rPr>
        <w:t> </w:t>
      </w:r>
      <w:r>
        <w:rPr/>
        <w:t>a</w:t>
      </w:r>
      <w:r>
        <w:rPr>
          <w:spacing w:val="4"/>
        </w:rPr>
        <w:t> </w:t>
      </w:r>
      <w:r>
        <w:rPr/>
        <w:t>partir</w:t>
      </w:r>
      <w:r>
        <w:rPr>
          <w:spacing w:val="5"/>
        </w:rPr>
        <w:t> </w:t>
      </w:r>
      <w:r>
        <w:rPr/>
        <w:t>de</w:t>
      </w:r>
      <w:r>
        <w:rPr>
          <w:spacing w:val="2"/>
        </w:rPr>
        <w:t> </w:t>
      </w:r>
      <w:r>
        <w:rPr/>
        <w:t>1°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fevereiro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1995,</w:t>
      </w:r>
      <w:r>
        <w:rPr>
          <w:spacing w:val="1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contrário.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1"/>
        <w:ind w:left="3455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22 de</w:t>
      </w:r>
      <w:r>
        <w:rPr>
          <w:spacing w:val="-1"/>
        </w:rPr>
        <w:t> </w:t>
      </w:r>
      <w:r>
        <w:rPr/>
        <w:t>fevereiro de</w:t>
      </w:r>
      <w:r>
        <w:rPr>
          <w:spacing w:val="-2"/>
        </w:rPr>
        <w:t> </w:t>
      </w:r>
      <w:r>
        <w:rPr/>
        <w:t>1995.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3"/>
        <w:ind w:left="3924" w:right="3919" w:firstLine="1"/>
        <w:jc w:val="center"/>
      </w:pPr>
      <w:r>
        <w:rPr/>
        <w:t>Hugo Corrêa Bernardes Filho</w:t>
      </w:r>
      <w:r>
        <w:rPr>
          <w:spacing w:val="1"/>
        </w:rPr>
        <w:t> </w:t>
      </w:r>
      <w:r>
        <w:rPr/>
        <w:t>Prefeito</w:t>
      </w:r>
      <w:r>
        <w:rPr>
          <w:spacing w:val="-5"/>
        </w:rPr>
        <w:t> </w:t>
      </w:r>
      <w:r>
        <w:rPr/>
        <w:t>Municipal</w:t>
      </w:r>
      <w:r>
        <w:rPr>
          <w:spacing w:val="-5"/>
        </w:rPr>
        <w:t> </w:t>
      </w:r>
      <w:r>
        <w:rPr/>
        <w:t>em</w:t>
      </w:r>
      <w:r>
        <w:rPr>
          <w:spacing w:val="-7"/>
        </w:rPr>
        <w:t> </w:t>
      </w:r>
      <w:r>
        <w:rPr/>
        <w:t>exercício</w:t>
      </w:r>
    </w:p>
    <w:p>
      <w:pPr>
        <w:spacing w:after="0"/>
        <w:jc w:val="center"/>
        <w:sectPr>
          <w:type w:val="continuous"/>
          <w:pgSz w:w="11910" w:h="16840"/>
          <w:pgMar w:top="760" w:bottom="280" w:left="1020" w:right="460"/>
        </w:sectPr>
      </w:pPr>
    </w:p>
    <w:p>
      <w:pPr>
        <w:pStyle w:val="BodyText"/>
        <w:spacing w:before="67"/>
        <w:ind w:left="2901" w:right="2663" w:firstLine="952"/>
      </w:pPr>
      <w:r>
        <w:rPr/>
        <w:t>ESTADO DO RIO DE JANEIRO</w:t>
      </w:r>
      <w:r>
        <w:rPr>
          <w:spacing w:val="1"/>
        </w:rPr>
        <w:t> </w:t>
      </w:r>
      <w:r>
        <w:rPr/>
        <w:t>PREFEITURA</w:t>
      </w:r>
      <w:r>
        <w:rPr>
          <w:spacing w:val="-4"/>
        </w:rPr>
        <w:t> </w:t>
      </w:r>
      <w:r>
        <w:rPr/>
        <w:t>MUNICIPAL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6" w:right="3450"/>
        <w:jc w:val="center"/>
      </w:pPr>
      <w:r>
        <w:rPr/>
        <w:t>TABELA</w:t>
      </w:r>
      <w:r>
        <w:rPr>
          <w:spacing w:val="-3"/>
        </w:rPr>
        <w:t> </w:t>
      </w:r>
      <w:r>
        <w:rPr/>
        <w:t>I</w:t>
      </w:r>
    </w:p>
    <w:p>
      <w:pPr>
        <w:pStyle w:val="BodyText"/>
        <w:spacing w:before="7"/>
      </w:pPr>
    </w:p>
    <w:tbl>
      <w:tblPr>
        <w:tblW w:w="0" w:type="auto"/>
        <w:jc w:val="left"/>
        <w:tblInd w:w="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55"/>
        <w:gridCol w:w="1982"/>
        <w:gridCol w:w="1984"/>
      </w:tblGrid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spacing w:line="240" w:lineRule="auto"/>
              <w:jc w:val="left"/>
              <w:rPr>
                <w:sz w:val="16"/>
              </w:rPr>
            </w:pPr>
          </w:p>
        </w:tc>
        <w:tc>
          <w:tcPr>
            <w:tcW w:w="1982" w:type="dxa"/>
          </w:tcPr>
          <w:p>
            <w:pPr>
              <w:pStyle w:val="TableParagraph"/>
              <w:ind w:left="148"/>
              <w:jc w:val="left"/>
              <w:rPr>
                <w:sz w:val="20"/>
              </w:rPr>
            </w:pPr>
            <w:r>
              <w:rPr>
                <w:sz w:val="20"/>
              </w:rPr>
              <w:t>SALÁRIO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ANTIGO</w:t>
            </w:r>
          </w:p>
        </w:tc>
        <w:tc>
          <w:tcPr>
            <w:tcW w:w="1984" w:type="dxa"/>
          </w:tcPr>
          <w:p>
            <w:pPr>
              <w:pStyle w:val="TableParagraph"/>
              <w:ind w:left="317"/>
              <w:jc w:val="left"/>
              <w:rPr>
                <w:sz w:val="20"/>
              </w:rPr>
            </w:pPr>
            <w:r>
              <w:rPr>
                <w:sz w:val="20"/>
              </w:rPr>
              <w:t>FEVEREIRO/95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ADVOGADO</w:t>
            </w:r>
          </w:p>
        </w:tc>
        <w:tc>
          <w:tcPr>
            <w:tcW w:w="1982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342,67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411,20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AGENTE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ADMINISTRATIVO</w:t>
            </w:r>
          </w:p>
        </w:tc>
        <w:tc>
          <w:tcPr>
            <w:tcW w:w="1982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212,94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255,53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ARTÍFICE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174,74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209,69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 ADMINISTRAÇÃO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147,94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177,53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ENFERMAGEM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177,48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212,98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GERAIS</w:t>
            </w:r>
          </w:p>
        </w:tc>
        <w:tc>
          <w:tcPr>
            <w:tcW w:w="1982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120,46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144,55</w:t>
            </w:r>
          </w:p>
        </w:tc>
      </w:tr>
      <w:tr>
        <w:trPr>
          <w:trHeight w:val="229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URBANOS</w:t>
            </w:r>
          </w:p>
        </w:tc>
        <w:tc>
          <w:tcPr>
            <w:tcW w:w="1982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120,46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144,55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ASSISTENTE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SOCIAL</w:t>
            </w:r>
          </w:p>
        </w:tc>
        <w:tc>
          <w:tcPr>
            <w:tcW w:w="1982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295,70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354,84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AUXILIAR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ODONTOLÓGICOS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177,48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212,98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BIOQUÍMICO</w:t>
            </w:r>
          </w:p>
        </w:tc>
        <w:tc>
          <w:tcPr>
            <w:tcW w:w="1982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295,70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254,84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CONTADOR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342,67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411,20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ENFERMEIRO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295,70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354,84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FISIOTERAPEUTA</w:t>
            </w:r>
          </w:p>
        </w:tc>
        <w:tc>
          <w:tcPr>
            <w:tcW w:w="1982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295,70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354,84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FISCAL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OBRAS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URBANISMO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166,19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319,43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FISCAL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SAÚDE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PÚBLICA</w:t>
            </w:r>
          </w:p>
        </w:tc>
        <w:tc>
          <w:tcPr>
            <w:tcW w:w="1982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342,67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411,20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FISCAL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TRIBUTOS</w:t>
            </w:r>
          </w:p>
        </w:tc>
        <w:tc>
          <w:tcPr>
            <w:tcW w:w="1982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266,19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319,43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FONOAUDIÓLOGO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295,70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354,84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LABORATORISTA</w:t>
            </w:r>
          </w:p>
        </w:tc>
        <w:tc>
          <w:tcPr>
            <w:tcW w:w="1982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222,20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266,64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MÉDICO</w:t>
            </w:r>
          </w:p>
        </w:tc>
        <w:tc>
          <w:tcPr>
            <w:tcW w:w="1982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376,90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452,28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MERENDEIRA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120,46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144,55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MOTORISTA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170,41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204,49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ODONTÓLOGO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376,14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451,37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OPERADOR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RAIO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X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222,20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266,64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OPERADOR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MÁQUINAS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228,19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273,83</w:t>
            </w:r>
          </w:p>
        </w:tc>
      </w:tr>
      <w:tr>
        <w:trPr>
          <w:trHeight w:val="227" w:hRule="atLeast"/>
        </w:trPr>
        <w:tc>
          <w:tcPr>
            <w:tcW w:w="4255" w:type="dxa"/>
          </w:tcPr>
          <w:p>
            <w:pPr>
              <w:pStyle w:val="TableParagraph"/>
              <w:spacing w:line="208" w:lineRule="exact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PROFESSOR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</w:p>
        </w:tc>
        <w:tc>
          <w:tcPr>
            <w:tcW w:w="1982" w:type="dxa"/>
          </w:tcPr>
          <w:p>
            <w:pPr>
              <w:pStyle w:val="TableParagraph"/>
              <w:spacing w:line="208" w:lineRule="exact"/>
              <w:ind w:right="55"/>
              <w:rPr>
                <w:sz w:val="20"/>
              </w:rPr>
            </w:pPr>
            <w:r>
              <w:rPr>
                <w:sz w:val="20"/>
              </w:rPr>
              <w:t>220,66</w:t>
            </w:r>
          </w:p>
        </w:tc>
        <w:tc>
          <w:tcPr>
            <w:tcW w:w="1984" w:type="dxa"/>
          </w:tcPr>
          <w:p>
            <w:pPr>
              <w:pStyle w:val="TableParagraph"/>
              <w:spacing w:line="208" w:lineRule="exact"/>
              <w:ind w:right="51"/>
              <w:rPr>
                <w:sz w:val="20"/>
              </w:rPr>
            </w:pPr>
            <w:r>
              <w:rPr>
                <w:sz w:val="20"/>
              </w:rPr>
              <w:t>264,79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PROFESSOR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264,84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317,81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PROFESSOR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ESPECIAL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220,66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264,79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TÉCNICO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CONTABILIDADE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222,20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266,64</w:t>
            </w:r>
          </w:p>
        </w:tc>
      </w:tr>
      <w:tr>
        <w:trPr>
          <w:trHeight w:val="230" w:hRule="atLeast"/>
        </w:trPr>
        <w:tc>
          <w:tcPr>
            <w:tcW w:w="4255" w:type="dxa"/>
          </w:tcPr>
          <w:p>
            <w:pPr>
              <w:pStyle w:val="TableParagraph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TELEFONISTA</w:t>
            </w:r>
          </w:p>
        </w:tc>
        <w:tc>
          <w:tcPr>
            <w:tcW w:w="1982" w:type="dxa"/>
          </w:tcPr>
          <w:p>
            <w:pPr>
              <w:pStyle w:val="TableParagraph"/>
              <w:ind w:right="55"/>
              <w:rPr>
                <w:sz w:val="20"/>
              </w:rPr>
            </w:pPr>
            <w:r>
              <w:rPr>
                <w:sz w:val="20"/>
              </w:rPr>
              <w:t>154,99</w:t>
            </w:r>
          </w:p>
        </w:tc>
        <w:tc>
          <w:tcPr>
            <w:tcW w:w="1984" w:type="dxa"/>
          </w:tcPr>
          <w:p>
            <w:pPr>
              <w:pStyle w:val="TableParagraph"/>
              <w:ind w:right="51"/>
              <w:rPr>
                <w:sz w:val="20"/>
              </w:rPr>
            </w:pPr>
            <w:r>
              <w:rPr>
                <w:sz w:val="20"/>
              </w:rPr>
              <w:t>185,99</w:t>
            </w:r>
          </w:p>
        </w:tc>
      </w:tr>
      <w:tr>
        <w:trPr>
          <w:trHeight w:val="232" w:hRule="atLeast"/>
        </w:trPr>
        <w:tc>
          <w:tcPr>
            <w:tcW w:w="4255" w:type="dxa"/>
          </w:tcPr>
          <w:p>
            <w:pPr>
              <w:pStyle w:val="TableParagraph"/>
              <w:spacing w:line="212" w:lineRule="exact"/>
              <w:ind w:left="71"/>
              <w:jc w:val="left"/>
              <w:rPr>
                <w:sz w:val="20"/>
              </w:rPr>
            </w:pPr>
            <w:r>
              <w:rPr>
                <w:sz w:val="20"/>
              </w:rPr>
              <w:t>TOPÓGRAFO</w:t>
            </w:r>
          </w:p>
        </w:tc>
        <w:tc>
          <w:tcPr>
            <w:tcW w:w="1982" w:type="dxa"/>
          </w:tcPr>
          <w:p>
            <w:pPr>
              <w:pStyle w:val="TableParagraph"/>
              <w:spacing w:line="212" w:lineRule="exact"/>
              <w:ind w:right="55"/>
              <w:rPr>
                <w:sz w:val="20"/>
              </w:rPr>
            </w:pPr>
            <w:r>
              <w:rPr>
                <w:sz w:val="20"/>
              </w:rPr>
              <w:t>222,20</w:t>
            </w:r>
          </w:p>
        </w:tc>
        <w:tc>
          <w:tcPr>
            <w:tcW w:w="1984" w:type="dxa"/>
          </w:tcPr>
          <w:p>
            <w:pPr>
              <w:pStyle w:val="TableParagraph"/>
              <w:spacing w:line="212" w:lineRule="exact"/>
              <w:ind w:right="51"/>
              <w:rPr>
                <w:sz w:val="20"/>
              </w:rPr>
            </w:pPr>
            <w:r>
              <w:rPr>
                <w:sz w:val="20"/>
              </w:rPr>
              <w:t>266,64</w:t>
            </w:r>
          </w:p>
        </w:tc>
      </w:tr>
    </w:tbl>
    <w:p>
      <w:pPr>
        <w:spacing w:after="0" w:line="212" w:lineRule="exact"/>
        <w:rPr>
          <w:sz w:val="20"/>
        </w:rPr>
        <w:sectPr>
          <w:pgSz w:w="11910" w:h="16840"/>
          <w:pgMar w:top="760" w:bottom="280" w:left="1020" w:right="460"/>
        </w:sectPr>
      </w:pPr>
    </w:p>
    <w:p>
      <w:pPr>
        <w:pStyle w:val="BodyText"/>
        <w:spacing w:line="477" w:lineRule="auto" w:before="67" w:after="10"/>
        <w:ind w:left="2956" w:right="2952"/>
        <w:jc w:val="center"/>
      </w:pPr>
      <w:r>
        <w:rPr/>
        <w:t>PREFEITURA MUNICIPAL DE PATY DO ALFERES</w:t>
      </w:r>
      <w:r>
        <w:rPr>
          <w:spacing w:val="-47"/>
        </w:rPr>
        <w:t> </w:t>
      </w:r>
      <w:r>
        <w:rPr/>
        <w:t>TABELA</w:t>
      </w:r>
      <w:r>
        <w:rPr>
          <w:spacing w:val="-2"/>
        </w:rPr>
        <w:t> </w:t>
      </w:r>
      <w:r>
        <w:rPr/>
        <w:t>II</w:t>
      </w:r>
    </w:p>
    <w:tbl>
      <w:tblPr>
        <w:tblW w:w="0" w:type="auto"/>
        <w:jc w:val="left"/>
        <w:tblInd w:w="2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0"/>
        <w:gridCol w:w="2126"/>
        <w:gridCol w:w="1984"/>
      </w:tblGrid>
      <w:tr>
        <w:trPr>
          <w:trHeight w:val="230" w:hRule="atLeast"/>
        </w:trPr>
        <w:tc>
          <w:tcPr>
            <w:tcW w:w="1560" w:type="dxa"/>
          </w:tcPr>
          <w:p>
            <w:pPr>
              <w:pStyle w:val="TableParagraph"/>
              <w:ind w:left="309" w:right="300"/>
              <w:jc w:val="center"/>
              <w:rPr>
                <w:sz w:val="20"/>
              </w:rPr>
            </w:pPr>
            <w:r>
              <w:rPr>
                <w:sz w:val="20"/>
              </w:rPr>
              <w:t>SÍMBOLO</w:t>
            </w:r>
          </w:p>
        </w:tc>
        <w:tc>
          <w:tcPr>
            <w:tcW w:w="2126" w:type="dxa"/>
          </w:tcPr>
          <w:p>
            <w:pPr>
              <w:pStyle w:val="TableParagraph"/>
              <w:ind w:left="221"/>
              <w:jc w:val="left"/>
              <w:rPr>
                <w:sz w:val="20"/>
              </w:rPr>
            </w:pPr>
            <w:r>
              <w:rPr>
                <w:sz w:val="20"/>
              </w:rPr>
              <w:t>SALÁRIO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ANTIGO</w:t>
            </w:r>
          </w:p>
        </w:tc>
        <w:tc>
          <w:tcPr>
            <w:tcW w:w="1984" w:type="dxa"/>
          </w:tcPr>
          <w:p>
            <w:pPr>
              <w:pStyle w:val="TableParagraph"/>
              <w:ind w:left="263"/>
              <w:jc w:val="left"/>
              <w:rPr>
                <w:sz w:val="20"/>
              </w:rPr>
            </w:pPr>
            <w:r>
              <w:rPr>
                <w:sz w:val="20"/>
              </w:rPr>
              <w:t>FEVEREIRO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95</w:t>
            </w:r>
          </w:p>
        </w:tc>
      </w:tr>
      <w:tr>
        <w:trPr>
          <w:trHeight w:val="230" w:hRule="atLeast"/>
        </w:trPr>
        <w:tc>
          <w:tcPr>
            <w:tcW w:w="1560" w:type="dxa"/>
          </w:tcPr>
          <w:p>
            <w:pPr>
              <w:pStyle w:val="TableParagraph"/>
              <w:ind w:left="309" w:right="299"/>
              <w:jc w:val="center"/>
              <w:rPr>
                <w:sz w:val="20"/>
              </w:rPr>
            </w:pP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</w:t>
            </w:r>
          </w:p>
        </w:tc>
        <w:tc>
          <w:tcPr>
            <w:tcW w:w="2126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482,23</w:t>
            </w:r>
          </w:p>
        </w:tc>
        <w:tc>
          <w:tcPr>
            <w:tcW w:w="1984" w:type="dxa"/>
          </w:tcPr>
          <w:p>
            <w:pPr>
              <w:pStyle w:val="TableParagraph"/>
              <w:ind w:right="54"/>
              <w:rPr>
                <w:sz w:val="20"/>
              </w:rPr>
            </w:pPr>
            <w:r>
              <w:rPr>
                <w:sz w:val="20"/>
              </w:rPr>
              <w:t>578,68</w:t>
            </w:r>
          </w:p>
        </w:tc>
      </w:tr>
      <w:tr>
        <w:trPr>
          <w:trHeight w:val="230" w:hRule="atLeast"/>
        </w:trPr>
        <w:tc>
          <w:tcPr>
            <w:tcW w:w="1560" w:type="dxa"/>
          </w:tcPr>
          <w:p>
            <w:pPr>
              <w:pStyle w:val="TableParagraph"/>
              <w:ind w:left="309" w:right="299"/>
              <w:jc w:val="center"/>
              <w:rPr>
                <w:sz w:val="20"/>
              </w:rPr>
            </w:pP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</w:t>
            </w:r>
          </w:p>
        </w:tc>
        <w:tc>
          <w:tcPr>
            <w:tcW w:w="2126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313,46</w:t>
            </w:r>
          </w:p>
        </w:tc>
        <w:tc>
          <w:tcPr>
            <w:tcW w:w="1984" w:type="dxa"/>
          </w:tcPr>
          <w:p>
            <w:pPr>
              <w:pStyle w:val="TableParagraph"/>
              <w:ind w:right="54"/>
              <w:rPr>
                <w:sz w:val="20"/>
              </w:rPr>
            </w:pPr>
            <w:r>
              <w:rPr>
                <w:sz w:val="20"/>
              </w:rPr>
              <w:t>376,15</w:t>
            </w:r>
          </w:p>
        </w:tc>
      </w:tr>
      <w:tr>
        <w:trPr>
          <w:trHeight w:val="230" w:hRule="atLeast"/>
        </w:trPr>
        <w:tc>
          <w:tcPr>
            <w:tcW w:w="1560" w:type="dxa"/>
          </w:tcPr>
          <w:p>
            <w:pPr>
              <w:pStyle w:val="TableParagraph"/>
              <w:ind w:left="309" w:right="299"/>
              <w:jc w:val="center"/>
              <w:rPr>
                <w:sz w:val="20"/>
              </w:rPr>
            </w:pP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3</w:t>
            </w:r>
          </w:p>
        </w:tc>
        <w:tc>
          <w:tcPr>
            <w:tcW w:w="2126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241,11</w:t>
            </w:r>
          </w:p>
        </w:tc>
        <w:tc>
          <w:tcPr>
            <w:tcW w:w="1984" w:type="dxa"/>
          </w:tcPr>
          <w:p>
            <w:pPr>
              <w:pStyle w:val="TableParagraph"/>
              <w:ind w:right="54"/>
              <w:rPr>
                <w:sz w:val="20"/>
              </w:rPr>
            </w:pPr>
            <w:r>
              <w:rPr>
                <w:sz w:val="20"/>
              </w:rPr>
              <w:t>289,33</w:t>
            </w:r>
          </w:p>
        </w:tc>
      </w:tr>
      <w:tr>
        <w:trPr>
          <w:trHeight w:val="230" w:hRule="atLeast"/>
        </w:trPr>
        <w:tc>
          <w:tcPr>
            <w:tcW w:w="1560" w:type="dxa"/>
          </w:tcPr>
          <w:p>
            <w:pPr>
              <w:pStyle w:val="TableParagraph"/>
              <w:ind w:left="309" w:right="299"/>
              <w:jc w:val="center"/>
              <w:rPr>
                <w:sz w:val="20"/>
              </w:rPr>
            </w:pP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4</w:t>
            </w:r>
          </w:p>
        </w:tc>
        <w:tc>
          <w:tcPr>
            <w:tcW w:w="2126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216,99</w:t>
            </w:r>
          </w:p>
        </w:tc>
        <w:tc>
          <w:tcPr>
            <w:tcW w:w="1984" w:type="dxa"/>
          </w:tcPr>
          <w:p>
            <w:pPr>
              <w:pStyle w:val="TableParagraph"/>
              <w:ind w:right="54"/>
              <w:rPr>
                <w:sz w:val="20"/>
              </w:rPr>
            </w:pPr>
            <w:r>
              <w:rPr>
                <w:sz w:val="20"/>
              </w:rPr>
              <w:t>260,39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7"/>
        </w:rPr>
      </w:pPr>
    </w:p>
    <w:p>
      <w:pPr>
        <w:pStyle w:val="BodyText"/>
        <w:ind w:left="3455" w:right="3450"/>
        <w:jc w:val="center"/>
      </w:pPr>
      <w:r>
        <w:rPr/>
        <w:t>TABELA</w:t>
      </w:r>
      <w:r>
        <w:rPr>
          <w:spacing w:val="-3"/>
        </w:rPr>
        <w:t> </w:t>
      </w:r>
      <w:r>
        <w:rPr/>
        <w:t>III</w:t>
      </w:r>
    </w:p>
    <w:p>
      <w:pPr>
        <w:pStyle w:val="BodyText"/>
        <w:spacing w:before="5"/>
      </w:pPr>
    </w:p>
    <w:tbl>
      <w:tblPr>
        <w:tblW w:w="0" w:type="auto"/>
        <w:jc w:val="left"/>
        <w:tblInd w:w="1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5"/>
        <w:gridCol w:w="2693"/>
        <w:gridCol w:w="1558"/>
        <w:gridCol w:w="1296"/>
      </w:tblGrid>
      <w:tr>
        <w:trPr>
          <w:trHeight w:val="460" w:hRule="atLeast"/>
        </w:trPr>
        <w:tc>
          <w:tcPr>
            <w:tcW w:w="1985" w:type="dxa"/>
          </w:tcPr>
          <w:p>
            <w:pPr>
              <w:pStyle w:val="TableParagraph"/>
              <w:spacing w:line="223" w:lineRule="exact"/>
              <w:ind w:left="520" w:right="514"/>
              <w:jc w:val="center"/>
              <w:rPr>
                <w:sz w:val="20"/>
              </w:rPr>
            </w:pPr>
            <w:r>
              <w:rPr>
                <w:sz w:val="20"/>
              </w:rPr>
              <w:t>SÍMBOLO</w:t>
            </w:r>
          </w:p>
        </w:tc>
        <w:tc>
          <w:tcPr>
            <w:tcW w:w="2693" w:type="dxa"/>
          </w:tcPr>
          <w:p>
            <w:pPr>
              <w:pStyle w:val="TableParagraph"/>
              <w:spacing w:line="223" w:lineRule="exact"/>
              <w:ind w:left="310" w:right="304"/>
              <w:jc w:val="center"/>
              <w:rPr>
                <w:sz w:val="20"/>
              </w:rPr>
            </w:pPr>
            <w:r>
              <w:rPr>
                <w:sz w:val="20"/>
              </w:rPr>
              <w:t>PERCENTUAL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EM</w:t>
            </w:r>
          </w:p>
          <w:p>
            <w:pPr>
              <w:pStyle w:val="TableParagraph"/>
              <w:spacing w:line="217" w:lineRule="exact"/>
              <w:ind w:left="310" w:right="304"/>
              <w:jc w:val="center"/>
              <w:rPr>
                <w:sz w:val="20"/>
              </w:rPr>
            </w:pPr>
            <w:r>
              <w:rPr>
                <w:sz w:val="20"/>
              </w:rPr>
              <w:t>RELAÇÃO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DAS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</w:t>
            </w:r>
          </w:p>
        </w:tc>
        <w:tc>
          <w:tcPr>
            <w:tcW w:w="1558" w:type="dxa"/>
          </w:tcPr>
          <w:p>
            <w:pPr>
              <w:pStyle w:val="TableParagraph"/>
              <w:spacing w:line="223" w:lineRule="exact"/>
              <w:ind w:left="395"/>
              <w:jc w:val="left"/>
              <w:rPr>
                <w:sz w:val="20"/>
              </w:rPr>
            </w:pPr>
            <w:r>
              <w:rPr>
                <w:sz w:val="20"/>
              </w:rPr>
              <w:t>ANTIGO</w:t>
            </w:r>
          </w:p>
        </w:tc>
        <w:tc>
          <w:tcPr>
            <w:tcW w:w="1296" w:type="dxa"/>
          </w:tcPr>
          <w:p>
            <w:pPr>
              <w:pStyle w:val="TableParagraph"/>
              <w:spacing w:line="223" w:lineRule="exact"/>
              <w:ind w:left="77" w:right="68"/>
              <w:jc w:val="center"/>
              <w:rPr>
                <w:sz w:val="20"/>
              </w:rPr>
            </w:pPr>
            <w:r>
              <w:rPr>
                <w:sz w:val="20"/>
              </w:rPr>
              <w:t>FEVEREIRO</w:t>
            </w:r>
          </w:p>
          <w:p>
            <w:pPr>
              <w:pStyle w:val="TableParagraph"/>
              <w:spacing w:line="217" w:lineRule="exact"/>
              <w:ind w:left="77" w:right="66"/>
              <w:jc w:val="center"/>
              <w:rPr>
                <w:sz w:val="20"/>
              </w:rPr>
            </w:pP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95</w:t>
            </w:r>
          </w:p>
        </w:tc>
      </w:tr>
      <w:tr>
        <w:trPr>
          <w:trHeight w:val="230" w:hRule="atLeast"/>
        </w:trPr>
        <w:tc>
          <w:tcPr>
            <w:tcW w:w="1985" w:type="dxa"/>
          </w:tcPr>
          <w:p>
            <w:pPr>
              <w:pStyle w:val="TableParagraph"/>
              <w:ind w:left="520" w:right="513"/>
              <w:jc w:val="center"/>
              <w:rPr>
                <w:sz w:val="20"/>
              </w:rPr>
            </w:pPr>
            <w:r>
              <w:rPr>
                <w:sz w:val="20"/>
              </w:rPr>
              <w:t>CAI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 1</w:t>
            </w:r>
          </w:p>
        </w:tc>
        <w:tc>
          <w:tcPr>
            <w:tcW w:w="2693" w:type="dxa"/>
          </w:tcPr>
          <w:p>
            <w:pPr>
              <w:pStyle w:val="TableParagraph"/>
              <w:ind w:left="1160"/>
              <w:jc w:val="left"/>
              <w:rPr>
                <w:sz w:val="20"/>
              </w:rPr>
            </w:pPr>
            <w:r>
              <w:rPr>
                <w:sz w:val="20"/>
              </w:rPr>
              <w:t>25%</w:t>
            </w:r>
          </w:p>
        </w:tc>
        <w:tc>
          <w:tcPr>
            <w:tcW w:w="1558" w:type="dxa"/>
          </w:tcPr>
          <w:p>
            <w:pPr>
              <w:pStyle w:val="TableParagraph"/>
              <w:ind w:right="57"/>
              <w:rPr>
                <w:sz w:val="20"/>
              </w:rPr>
            </w:pPr>
            <w:r>
              <w:rPr>
                <w:sz w:val="20"/>
              </w:rPr>
              <w:t>120,55</w:t>
            </w:r>
          </w:p>
        </w:tc>
        <w:tc>
          <w:tcPr>
            <w:tcW w:w="1296" w:type="dxa"/>
          </w:tcPr>
          <w:p>
            <w:pPr>
              <w:pStyle w:val="TableParagraph"/>
              <w:ind w:right="56"/>
              <w:rPr>
                <w:sz w:val="20"/>
              </w:rPr>
            </w:pPr>
            <w:r>
              <w:rPr>
                <w:sz w:val="20"/>
              </w:rPr>
              <w:t>144,66</w:t>
            </w:r>
          </w:p>
        </w:tc>
      </w:tr>
      <w:tr>
        <w:trPr>
          <w:trHeight w:val="230" w:hRule="atLeast"/>
        </w:trPr>
        <w:tc>
          <w:tcPr>
            <w:tcW w:w="1985" w:type="dxa"/>
          </w:tcPr>
          <w:p>
            <w:pPr>
              <w:pStyle w:val="TableParagraph"/>
              <w:ind w:left="520" w:right="513"/>
              <w:jc w:val="center"/>
              <w:rPr>
                <w:sz w:val="20"/>
              </w:rPr>
            </w:pPr>
            <w:r>
              <w:rPr>
                <w:sz w:val="20"/>
              </w:rPr>
              <w:t>CAI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 2</w:t>
            </w:r>
          </w:p>
        </w:tc>
        <w:tc>
          <w:tcPr>
            <w:tcW w:w="2693" w:type="dxa"/>
          </w:tcPr>
          <w:p>
            <w:pPr>
              <w:pStyle w:val="TableParagraph"/>
              <w:ind w:left="1160"/>
              <w:jc w:val="left"/>
              <w:rPr>
                <w:sz w:val="20"/>
              </w:rPr>
            </w:pPr>
            <w:r>
              <w:rPr>
                <w:sz w:val="20"/>
              </w:rPr>
              <w:t>15%</w:t>
            </w:r>
          </w:p>
        </w:tc>
        <w:tc>
          <w:tcPr>
            <w:tcW w:w="1558" w:type="dxa"/>
          </w:tcPr>
          <w:p>
            <w:pPr>
              <w:pStyle w:val="TableParagraph"/>
              <w:ind w:right="57"/>
              <w:rPr>
                <w:sz w:val="20"/>
              </w:rPr>
            </w:pPr>
            <w:r>
              <w:rPr>
                <w:sz w:val="20"/>
              </w:rPr>
              <w:t>72,33</w:t>
            </w:r>
          </w:p>
        </w:tc>
        <w:tc>
          <w:tcPr>
            <w:tcW w:w="1296" w:type="dxa"/>
          </w:tcPr>
          <w:p>
            <w:pPr>
              <w:pStyle w:val="TableParagraph"/>
              <w:ind w:right="57"/>
              <w:rPr>
                <w:sz w:val="20"/>
              </w:rPr>
            </w:pPr>
            <w:r>
              <w:rPr>
                <w:sz w:val="20"/>
              </w:rPr>
              <w:t>86,80</w:t>
            </w:r>
          </w:p>
        </w:tc>
      </w:tr>
      <w:tr>
        <w:trPr>
          <w:trHeight w:val="230" w:hRule="atLeast"/>
        </w:trPr>
        <w:tc>
          <w:tcPr>
            <w:tcW w:w="1985" w:type="dxa"/>
          </w:tcPr>
          <w:p>
            <w:pPr>
              <w:pStyle w:val="TableParagraph"/>
              <w:ind w:left="520" w:right="513"/>
              <w:jc w:val="center"/>
              <w:rPr>
                <w:sz w:val="20"/>
              </w:rPr>
            </w:pPr>
            <w:r>
              <w:rPr>
                <w:sz w:val="20"/>
              </w:rPr>
              <w:t>CAI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– 3</w:t>
            </w:r>
          </w:p>
        </w:tc>
        <w:tc>
          <w:tcPr>
            <w:tcW w:w="2693" w:type="dxa"/>
          </w:tcPr>
          <w:p>
            <w:pPr>
              <w:pStyle w:val="TableParagraph"/>
              <w:ind w:left="1160"/>
              <w:jc w:val="left"/>
              <w:rPr>
                <w:sz w:val="20"/>
              </w:rPr>
            </w:pPr>
            <w:r>
              <w:rPr>
                <w:sz w:val="20"/>
              </w:rPr>
              <w:t>10%</w:t>
            </w:r>
          </w:p>
        </w:tc>
        <w:tc>
          <w:tcPr>
            <w:tcW w:w="1558" w:type="dxa"/>
          </w:tcPr>
          <w:p>
            <w:pPr>
              <w:pStyle w:val="TableParagraph"/>
              <w:ind w:right="57"/>
              <w:rPr>
                <w:sz w:val="20"/>
              </w:rPr>
            </w:pPr>
            <w:r>
              <w:rPr>
                <w:sz w:val="20"/>
              </w:rPr>
              <w:t>48,22</w:t>
            </w:r>
          </w:p>
        </w:tc>
        <w:tc>
          <w:tcPr>
            <w:tcW w:w="1296" w:type="dxa"/>
          </w:tcPr>
          <w:p>
            <w:pPr>
              <w:pStyle w:val="TableParagraph"/>
              <w:ind w:right="57"/>
              <w:rPr>
                <w:sz w:val="20"/>
              </w:rPr>
            </w:pPr>
            <w:r>
              <w:rPr>
                <w:sz w:val="20"/>
              </w:rPr>
              <w:t>57,86</w:t>
            </w:r>
          </w:p>
        </w:tc>
      </w:tr>
    </w:tbl>
    <w:sectPr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  <w:jc w:val="right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274 à 406 anos 95, 96 e 97</dc:title>
  <dcterms:created xsi:type="dcterms:W3CDTF">2025-07-21T20:19:03Z</dcterms:created>
  <dcterms:modified xsi:type="dcterms:W3CDTF">2025-07-21T20:19:03Z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