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LEI COMPLEMENTAR N.</w:t>
      </w:r>
      <w:r>
        <w:rPr>
          <w:rFonts w:ascii="Palatino Linotype" w:hAnsi="Palatino Linotype" w:cs="LiberationSans"/>
          <w:lang w:eastAsia="en-US"/>
        </w:rPr>
        <w:t xml:space="preserve"> 66/2020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ind w:left="2268"/>
        <w:jc w:val="both"/>
        <w:rPr>
          <w:rFonts w:ascii="Palatino Linotype" w:hAnsi="Palatino Linotype" w:cs="LiberationSans-Bold"/>
          <w:b/>
          <w:bCs/>
          <w:lang w:eastAsia="en-US"/>
        </w:rPr>
      </w:pPr>
      <w:r>
        <w:rPr>
          <w:rFonts w:ascii="Palatino Linotype" w:hAnsi="Palatino Linotype" w:cs="LiberationSans-Bold"/>
          <w:b/>
          <w:bCs/>
          <w:lang w:eastAsia="en-US"/>
        </w:rPr>
        <w:t>ESTABELECE CRITÉRIOS E</w:t>
      </w:r>
      <w:r w:rsidRPr="00411FDF">
        <w:rPr>
          <w:rFonts w:ascii="Palatino Linotype" w:hAnsi="Palatino Linotype" w:cs="LiberationSans-Bold"/>
          <w:b/>
          <w:bCs/>
          <w:lang w:eastAsia="en-US"/>
        </w:rPr>
        <w:t xml:space="preserve"> </w:t>
      </w:r>
      <w:r>
        <w:rPr>
          <w:rFonts w:ascii="Palatino Linotype" w:hAnsi="Palatino Linotype" w:cs="LiberationSans-Bold"/>
          <w:b/>
          <w:bCs/>
          <w:lang w:eastAsia="en-US"/>
        </w:rPr>
        <w:t>PROCEDIMENTOS PARA</w:t>
      </w:r>
      <w:r w:rsidRPr="00411FDF">
        <w:rPr>
          <w:rFonts w:ascii="Palatino Linotype" w:hAnsi="Palatino Linotype" w:cs="LiberationSans-Bold"/>
          <w:b/>
          <w:bCs/>
          <w:lang w:eastAsia="en-US"/>
        </w:rPr>
        <w:t xml:space="preserve"> REGULARIZAÇÃO DE CONSTRUÇÕES IRREGULARES E </w:t>
      </w:r>
      <w:r>
        <w:rPr>
          <w:rFonts w:ascii="Palatino Linotype" w:hAnsi="Palatino Linotype" w:cs="LiberationSans-Bold"/>
          <w:b/>
          <w:bCs/>
          <w:lang w:eastAsia="en-US"/>
        </w:rPr>
        <w:t>CLANDESTINAS E DÁ OUTRAS PROVIDÊNCIAS.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707BB9" w:rsidRDefault="003B44F5" w:rsidP="003B44F5">
      <w:pPr>
        <w:ind w:firstLine="1701"/>
        <w:jc w:val="both"/>
        <w:rPr>
          <w:rFonts w:ascii="Palatino Linotype" w:hAnsi="Palatino Linotype" w:cs="Courier New"/>
        </w:rPr>
      </w:pPr>
      <w:r w:rsidRPr="00707BB9">
        <w:rPr>
          <w:rFonts w:ascii="Palatino Linotype" w:hAnsi="Palatino Linotype" w:cs="Courier New"/>
          <w:b/>
        </w:rPr>
        <w:t>O Prefeito Municipal de Guarujá do Sul</w:t>
      </w:r>
      <w:r w:rsidRPr="00707BB9">
        <w:rPr>
          <w:rFonts w:ascii="Palatino Linotype" w:hAnsi="Palatino Linotype" w:cs="Courier New"/>
        </w:rPr>
        <w:t>, Estado de Santa Catarina,</w:t>
      </w:r>
    </w:p>
    <w:p w:rsidR="003B44F5" w:rsidRPr="00707BB9" w:rsidRDefault="003B44F5" w:rsidP="003B44F5">
      <w:pPr>
        <w:ind w:firstLine="2127"/>
        <w:jc w:val="both"/>
        <w:rPr>
          <w:rFonts w:ascii="Palatino Linotype" w:hAnsi="Palatino Linotype" w:cs="Courier New"/>
        </w:rPr>
      </w:pPr>
    </w:p>
    <w:p w:rsidR="003B44F5" w:rsidRDefault="003B44F5" w:rsidP="003B44F5">
      <w:pPr>
        <w:ind w:firstLine="2268"/>
        <w:jc w:val="both"/>
        <w:rPr>
          <w:rFonts w:ascii="Palatino Linotype" w:hAnsi="Palatino Linotype" w:cs="Courier New"/>
        </w:rPr>
      </w:pPr>
      <w:r>
        <w:rPr>
          <w:rFonts w:ascii="Palatino Linotype" w:hAnsi="Palatino Linotype" w:cs="Courier New"/>
          <w:b/>
        </w:rPr>
        <w:t>TORNA PÚBLICO</w:t>
      </w:r>
      <w:r>
        <w:rPr>
          <w:rFonts w:ascii="Palatino Linotype" w:hAnsi="Palatino Linotype" w:cs="Courier New"/>
        </w:rPr>
        <w:t xml:space="preserve"> a todos os habitantes deste Município que a Câmara Municipal de Vereadores, votou, aprovou e eu sanciono a seguinte Lei Complementar: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 xml:space="preserve">Art. 1º. Fica o Poder Executivo autorizado a regularizar as edificações irregulares e clandestinas iniciadas e/ou executadas </w:t>
      </w:r>
      <w:r w:rsidRPr="00CA33E3">
        <w:rPr>
          <w:rFonts w:ascii="Palatino Linotype" w:hAnsi="Palatino Linotype" w:cs="LiberationSans"/>
          <w:lang w:eastAsia="en-US"/>
        </w:rPr>
        <w:t>em data anterior à vigência desta Lei Complementar,</w:t>
      </w:r>
      <w:r w:rsidRPr="00EB3444">
        <w:rPr>
          <w:rFonts w:ascii="Palatino Linotype" w:hAnsi="Palatino Linotype" w:cs="LiberationSans"/>
          <w:lang w:eastAsia="en-US"/>
        </w:rPr>
        <w:t xml:space="preserve"> edificadas em desconformidade</w:t>
      </w:r>
      <w:r w:rsidRPr="00411FDF">
        <w:rPr>
          <w:rFonts w:ascii="Palatino Linotype" w:hAnsi="Palatino Linotype" w:cs="LiberationSans"/>
          <w:lang w:eastAsia="en-US"/>
        </w:rPr>
        <w:t xml:space="preserve"> com os limites urbanísticos estabelecidos no Plano Diretor e Código de Obras vigentes, desde que apresentem condições de segurança contra incêndios e condições mínimas de higiene, segurança, estabilidade, salubridade e habitabilidade.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Parágrafo Único</w:t>
      </w:r>
      <w:r>
        <w:rPr>
          <w:rFonts w:ascii="Palatino Linotype" w:hAnsi="Palatino Linotype" w:cs="LiberationSans"/>
          <w:lang w:eastAsia="en-US"/>
        </w:rPr>
        <w:t>.</w:t>
      </w:r>
      <w:r w:rsidRPr="00411FDF">
        <w:rPr>
          <w:rFonts w:ascii="Palatino Linotype" w:hAnsi="Palatino Linotype" w:cs="LiberationSans"/>
          <w:lang w:eastAsia="en-US"/>
        </w:rPr>
        <w:t xml:space="preserve"> Para efeitos do que trata o caput deste artigo, considera-se: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a) construção irregular: aquela cuja licença foi expedida pelo Poder Público Municipal, porém executada total ou parcialmente em desacordo com o projeto aprovado;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b) construção clandestina: aquela executada sem prévia autorização do Poder Público Municipal, ou seja, sem projeto aprovado e sem a correspondente licença;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 xml:space="preserve">c) construção clandestina parcial: aquela correspondente </w:t>
      </w:r>
      <w:proofErr w:type="gramStart"/>
      <w:r w:rsidRPr="00411FDF">
        <w:rPr>
          <w:rFonts w:ascii="Palatino Linotype" w:hAnsi="Palatino Linotype" w:cs="LiberationSans"/>
          <w:lang w:eastAsia="en-US"/>
        </w:rPr>
        <w:t>a</w:t>
      </w:r>
      <w:proofErr w:type="gramEnd"/>
      <w:r w:rsidRPr="00411FDF">
        <w:rPr>
          <w:rFonts w:ascii="Palatino Linotype" w:hAnsi="Palatino Linotype" w:cs="LiberationSans"/>
          <w:lang w:eastAsia="en-US"/>
        </w:rPr>
        <w:t xml:space="preserve"> ampliação de construção legalmente autorizada, porém, sem licença do Poder Público Municipal.</w:t>
      </w:r>
    </w:p>
    <w:p w:rsidR="003B44F5" w:rsidRPr="00411FDF" w:rsidRDefault="003B44F5" w:rsidP="003B44F5">
      <w:pPr>
        <w:tabs>
          <w:tab w:val="left" w:pos="2664"/>
        </w:tabs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ab/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Art. 2º. São passíveis de regularização somente as construções que apresentarem as seguintes irregularidades: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lastRenderedPageBreak/>
        <w:t xml:space="preserve">I - quando em edificações residenciais unifamiliares e </w:t>
      </w:r>
      <w:proofErr w:type="spellStart"/>
      <w:r w:rsidRPr="00411FDF">
        <w:rPr>
          <w:rFonts w:ascii="Palatino Linotype" w:hAnsi="Palatino Linotype" w:cs="LiberationSans"/>
          <w:lang w:eastAsia="en-US"/>
        </w:rPr>
        <w:t>multifamiliares</w:t>
      </w:r>
      <w:proofErr w:type="spellEnd"/>
      <w:r w:rsidRPr="00411FDF">
        <w:rPr>
          <w:rFonts w:ascii="Palatino Linotype" w:hAnsi="Palatino Linotype" w:cs="LiberationSans"/>
          <w:lang w:eastAsia="en-US"/>
        </w:rPr>
        <w:t>: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a) recuo frontal;</w:t>
      </w:r>
    </w:p>
    <w:p w:rsidR="003B44F5" w:rsidRPr="00EB3444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 xml:space="preserve">b) </w:t>
      </w:r>
      <w:r w:rsidRPr="00EB3444">
        <w:rPr>
          <w:rFonts w:ascii="Palatino Linotype" w:hAnsi="Palatino Linotype" w:cs="LiberationSans"/>
          <w:lang w:eastAsia="en-US"/>
        </w:rPr>
        <w:t>afastamentos laterais e de fundos;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c) taxa de ocupação;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d) índices de aproveitamento;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e) projeção de sacadas e pavimentos superiores sobre o recuo e logradouro público (passeio) no limite máximo de 50% (cinquenta por cento) deste, com o máximo de 1,50</w:t>
      </w:r>
      <w:r>
        <w:rPr>
          <w:rFonts w:ascii="Palatino Linotype" w:hAnsi="Palatino Linotype" w:cs="LiberationSans"/>
          <w:lang w:eastAsia="en-US"/>
        </w:rPr>
        <w:t xml:space="preserve"> </w:t>
      </w:r>
      <w:r w:rsidRPr="00411FDF">
        <w:rPr>
          <w:rFonts w:ascii="Palatino Linotype" w:hAnsi="Palatino Linotype" w:cs="LiberationSans"/>
          <w:lang w:eastAsia="en-US"/>
        </w:rPr>
        <w:t xml:space="preserve">m, desde que respeitadas </w:t>
      </w:r>
      <w:proofErr w:type="gramStart"/>
      <w:r w:rsidRPr="00411FDF">
        <w:rPr>
          <w:rFonts w:ascii="Palatino Linotype" w:hAnsi="Palatino Linotype" w:cs="LiberationSans"/>
          <w:lang w:eastAsia="en-US"/>
        </w:rPr>
        <w:t>as</w:t>
      </w:r>
      <w:proofErr w:type="gramEnd"/>
      <w:r w:rsidRPr="00411FDF">
        <w:rPr>
          <w:rFonts w:ascii="Palatino Linotype" w:hAnsi="Palatino Linotype" w:cs="LiberationSans"/>
          <w:lang w:eastAsia="en-US"/>
        </w:rPr>
        <w:t xml:space="preserve"> condições para locação do medidor padrão CELESC e medidor padrão CASAN;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f) dimensões de cômodos;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g) pé direito, com tolerância de redução de até 15% (quinze por cento) a menos do mínimo exigido;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h</w:t>
      </w:r>
      <w:r w:rsidRPr="00411FDF">
        <w:rPr>
          <w:rFonts w:ascii="Palatino Linotype" w:hAnsi="Palatino Linotype" w:cs="LiberationSans"/>
          <w:lang w:eastAsia="en-US"/>
        </w:rPr>
        <w:t>) área de ventilação, com tolerância de até 30% (trinta por cento) da dimensão mínima do vão para qualquer compartimento, ou apresentada uma alternativa mecânica ou por duto, para a ventilação dos compartimentos de permanência transitória;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i</w:t>
      </w:r>
      <w:r w:rsidRPr="00411FDF">
        <w:rPr>
          <w:rFonts w:ascii="Palatino Linotype" w:hAnsi="Palatino Linotype" w:cs="LiberationSans"/>
          <w:lang w:eastAsia="en-US"/>
        </w:rPr>
        <w:t>) área de iluminação, com tolerância de até 30% (trinta por cento) da dimensão mínima do vão;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j) número de vagas de garagem, quando não há possibilidade do cumprimento de vagas no interior do lote;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k</w:t>
      </w:r>
      <w:r w:rsidRPr="00411FDF">
        <w:rPr>
          <w:rFonts w:ascii="Palatino Linotype" w:hAnsi="Palatino Linotype" w:cs="LiberationSans"/>
          <w:lang w:eastAsia="en-US"/>
        </w:rPr>
        <w:t>) redução dos vãos de ventilação e iluminação (círculos inscritos) que não atendem ao Código de Obras.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II - quando em edificações de uso misto (</w:t>
      </w:r>
      <w:proofErr w:type="gramStart"/>
      <w:r w:rsidRPr="00411FDF">
        <w:rPr>
          <w:rFonts w:ascii="Palatino Linotype" w:hAnsi="Palatino Linotype" w:cs="LiberationSans"/>
          <w:lang w:eastAsia="en-US"/>
        </w:rPr>
        <w:t>residenciais</w:t>
      </w:r>
      <w:proofErr w:type="gramEnd"/>
      <w:r w:rsidRPr="00411FDF">
        <w:rPr>
          <w:rFonts w:ascii="Palatino Linotype" w:hAnsi="Palatino Linotype" w:cs="LiberationSans"/>
          <w:lang w:eastAsia="en-US"/>
        </w:rPr>
        <w:t>/comerciais/serviços):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a) recuo frontal;</w:t>
      </w:r>
    </w:p>
    <w:p w:rsidR="003B44F5" w:rsidRPr="00EB3444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b) afastamentos laterais e de fundos;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c) taxa de ocupação;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d) índices de aproveitamento;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e) projeção de sacadas e pavimentos sobre o recuo e logradouro público (passeio) no limite máximo de 50% (cinquenta por cento) deste, com o máximo de 1,50 m</w:t>
      </w:r>
      <w:r>
        <w:rPr>
          <w:rFonts w:ascii="Palatino Linotype" w:hAnsi="Palatino Linotype" w:cs="LiberationSans"/>
          <w:lang w:eastAsia="en-US"/>
        </w:rPr>
        <w:t>,</w:t>
      </w:r>
      <w:r w:rsidRPr="00712916">
        <w:rPr>
          <w:rFonts w:ascii="Palatino Linotype" w:hAnsi="Palatino Linotype" w:cs="LiberationSans"/>
          <w:lang w:eastAsia="en-US"/>
        </w:rPr>
        <w:t xml:space="preserve"> </w:t>
      </w:r>
      <w:r w:rsidRPr="00411FDF">
        <w:rPr>
          <w:rFonts w:ascii="Palatino Linotype" w:hAnsi="Palatino Linotype" w:cs="LiberationSans"/>
          <w:lang w:eastAsia="en-US"/>
        </w:rPr>
        <w:t xml:space="preserve">desde que respeitadas </w:t>
      </w:r>
      <w:proofErr w:type="gramStart"/>
      <w:r w:rsidRPr="00411FDF">
        <w:rPr>
          <w:rFonts w:ascii="Palatino Linotype" w:hAnsi="Palatino Linotype" w:cs="LiberationSans"/>
          <w:lang w:eastAsia="en-US"/>
        </w:rPr>
        <w:t>as</w:t>
      </w:r>
      <w:proofErr w:type="gramEnd"/>
      <w:r w:rsidRPr="00411FDF">
        <w:rPr>
          <w:rFonts w:ascii="Palatino Linotype" w:hAnsi="Palatino Linotype" w:cs="LiberationSans"/>
          <w:lang w:eastAsia="en-US"/>
        </w:rPr>
        <w:t xml:space="preserve"> condições para locação do medidor padrão CELESC e medidor padrão CASAN;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f) dimensões de cômodos;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g) pé direito, com tolerância de redução de até 15% (quinze por cento) a menos do mínimo exigido;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lastRenderedPageBreak/>
        <w:t>h) área de ventilação, com tolerância de redução de até 30% (trinta por cento) na dimensão mínima do vão para qualquer compartimento, ou apresentada uma alternativa mecânica, ou por duto, para a ventilação dos compartimentos de permanência transitória;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i) área de iluminação, com tolerância de até 30% (trinta por cento) da dimensão mínima do vão;</w:t>
      </w:r>
    </w:p>
    <w:p w:rsidR="003B44F5" w:rsidRPr="00EB3444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 xml:space="preserve">j) número de vagas de garagem, quando não há possibilidade do cumprimento de </w:t>
      </w:r>
      <w:r w:rsidRPr="00EB3444">
        <w:rPr>
          <w:rFonts w:ascii="Palatino Linotype" w:hAnsi="Palatino Linotype" w:cs="LiberationSans"/>
          <w:lang w:eastAsia="en-US"/>
        </w:rPr>
        <w:t>vagas no interior do lote;</w:t>
      </w:r>
    </w:p>
    <w:p w:rsidR="003B44F5" w:rsidRPr="00EB3444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k) saliências de elementos estruturais, decorativos, isolados, de até 20 cm sobre o passeio;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l) redução dos</w:t>
      </w:r>
      <w:r w:rsidRPr="00411FDF">
        <w:rPr>
          <w:rFonts w:ascii="Palatino Linotype" w:hAnsi="Palatino Linotype" w:cs="LiberationSans"/>
          <w:lang w:eastAsia="en-US"/>
        </w:rPr>
        <w:t xml:space="preserve"> vãos de ventilação e iluminação (círculos inscritos) que não atendem ao disposto no Código de Obras.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III - quando em edificações de uso industrial, depósito, galpões e telheiros: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a) recuo frontal;</w:t>
      </w:r>
    </w:p>
    <w:p w:rsidR="003B44F5" w:rsidRPr="00EB3444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b) afastamentos laterais e de fundos;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c) taxa de ocupação;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d) índice de aproveitamento;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e</w:t>
      </w:r>
      <w:r w:rsidRPr="00411FDF">
        <w:rPr>
          <w:rFonts w:ascii="Palatino Linotype" w:hAnsi="Palatino Linotype" w:cs="LiberationSans"/>
          <w:lang w:eastAsia="en-US"/>
        </w:rPr>
        <w:t>) dimensões de cômodos;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f</w:t>
      </w:r>
      <w:r w:rsidRPr="00411FDF">
        <w:rPr>
          <w:rFonts w:ascii="Palatino Linotype" w:hAnsi="Palatino Linotype" w:cs="LiberationSans"/>
          <w:lang w:eastAsia="en-US"/>
        </w:rPr>
        <w:t>) pé direito, com tolerância de redução de até 15% (quinze por cento) a menos do mínimo exigido;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g</w:t>
      </w:r>
      <w:r w:rsidRPr="00411FDF">
        <w:rPr>
          <w:rFonts w:ascii="Palatino Linotype" w:hAnsi="Palatino Linotype" w:cs="LiberationSans"/>
          <w:lang w:eastAsia="en-US"/>
        </w:rPr>
        <w:t>) área de ventilação, com tolerância de redução de até 30% (trinta por cento) da dimensão mínima do vão para qualquer compartimento, ou apresentar uma alternativa mecânica, ou por duto, para a ventilação dos compartimentos de permanência transitória;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h</w:t>
      </w:r>
      <w:r w:rsidRPr="00411FDF">
        <w:rPr>
          <w:rFonts w:ascii="Palatino Linotype" w:hAnsi="Palatino Linotype" w:cs="LiberationSans"/>
          <w:lang w:eastAsia="en-US"/>
        </w:rPr>
        <w:t>) área de iluminação, com tolerância de até 30% (trinta por cento) da dimensão mínima do vão;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i</w:t>
      </w:r>
      <w:r w:rsidRPr="00411FDF">
        <w:rPr>
          <w:rFonts w:ascii="Palatino Linotype" w:hAnsi="Palatino Linotype" w:cs="LiberationSans"/>
          <w:lang w:eastAsia="en-US"/>
        </w:rPr>
        <w:t xml:space="preserve">) redução dos vãos de ventilação e iluminação (círculos inscritos) que não atendem ao </w:t>
      </w:r>
      <w:r>
        <w:rPr>
          <w:rFonts w:ascii="Palatino Linotype" w:hAnsi="Palatino Linotype" w:cs="LiberationSans"/>
          <w:lang w:eastAsia="en-US"/>
        </w:rPr>
        <w:t>disposto no Código de Obras.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 xml:space="preserve">IV - quando em edificações de uso público, tais como: igrejas, templos, </w:t>
      </w:r>
      <w:proofErr w:type="gramStart"/>
      <w:r w:rsidRPr="00411FDF">
        <w:rPr>
          <w:rFonts w:ascii="Palatino Linotype" w:hAnsi="Palatino Linotype" w:cs="LiberationSans"/>
          <w:lang w:eastAsia="en-US"/>
        </w:rPr>
        <w:t>salões</w:t>
      </w:r>
      <w:proofErr w:type="gramEnd"/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proofErr w:type="gramStart"/>
      <w:r w:rsidRPr="00411FDF">
        <w:rPr>
          <w:rFonts w:ascii="Palatino Linotype" w:hAnsi="Palatino Linotype" w:cs="LiberationSans"/>
          <w:lang w:eastAsia="en-US"/>
        </w:rPr>
        <w:t>comunitários</w:t>
      </w:r>
      <w:proofErr w:type="gramEnd"/>
      <w:r w:rsidRPr="00411FDF">
        <w:rPr>
          <w:rFonts w:ascii="Palatino Linotype" w:hAnsi="Palatino Linotype" w:cs="LiberationSans"/>
          <w:lang w:eastAsia="en-US"/>
        </w:rPr>
        <w:t>, ginásios, entre outros assemelhados: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EB3444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a) recuo frontal;</w:t>
      </w:r>
    </w:p>
    <w:p w:rsidR="003B44F5" w:rsidRPr="00EB3444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b) afastamentos laterais e de fundos;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c) taxa de ocupação;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d) índice de aproveitamento;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lastRenderedPageBreak/>
        <w:t>e</w:t>
      </w:r>
      <w:r w:rsidRPr="00411FDF">
        <w:rPr>
          <w:rFonts w:ascii="Palatino Linotype" w:hAnsi="Palatino Linotype" w:cs="LiberationSans"/>
          <w:lang w:eastAsia="en-US"/>
        </w:rPr>
        <w:t>) dimensões de cômodos;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f</w:t>
      </w:r>
      <w:r w:rsidRPr="00411FDF">
        <w:rPr>
          <w:rFonts w:ascii="Palatino Linotype" w:hAnsi="Palatino Linotype" w:cs="LiberationSans"/>
          <w:lang w:eastAsia="en-US"/>
        </w:rPr>
        <w:t>) pé direito, com tolerância de redução de até 15% (quinze por cento) a menos do mínimo exigido;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g</w:t>
      </w:r>
      <w:r w:rsidRPr="00411FDF">
        <w:rPr>
          <w:rFonts w:ascii="Palatino Linotype" w:hAnsi="Palatino Linotype" w:cs="LiberationSans"/>
          <w:lang w:eastAsia="en-US"/>
        </w:rPr>
        <w:t>) área de ventilação, com tolerância de redução de até 30% (trinta por cento) da dimensão mínima do vão para qualquer compartimento, ou apresentar uma alternativa mecânica, ou por duto, para a ventilação dos compartimentos de permanência transitória;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h</w:t>
      </w:r>
      <w:r w:rsidRPr="00411FDF">
        <w:rPr>
          <w:rFonts w:ascii="Palatino Linotype" w:hAnsi="Palatino Linotype" w:cs="LiberationSans"/>
          <w:lang w:eastAsia="en-US"/>
        </w:rPr>
        <w:t>) área de iluminação, com tolerância de até 30% (trinta por cento) da dimensão mínima do vão;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i</w:t>
      </w:r>
      <w:r w:rsidRPr="00411FDF">
        <w:rPr>
          <w:rFonts w:ascii="Palatino Linotype" w:hAnsi="Palatino Linotype" w:cs="LiberationSans"/>
          <w:lang w:eastAsia="en-US"/>
        </w:rPr>
        <w:t xml:space="preserve">) redução dos vãos de ventilação e iluminação (círculos inscritos) que não atendem ao </w:t>
      </w:r>
      <w:r>
        <w:rPr>
          <w:rFonts w:ascii="Palatino Linotype" w:hAnsi="Palatino Linotype" w:cs="LiberationSans"/>
          <w:lang w:eastAsia="en-US"/>
        </w:rPr>
        <w:t>disposto no Código de Obras.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 xml:space="preserve">§ 1º </w:t>
      </w:r>
      <w:r w:rsidRPr="00CA33E3">
        <w:rPr>
          <w:rFonts w:ascii="Palatino Linotype" w:hAnsi="Palatino Linotype" w:cs="LiberationSans"/>
          <w:lang w:eastAsia="en-US"/>
        </w:rPr>
        <w:t>Sempre que a regularização tratar de recuo e projeção de sacada ou pavimento sobre o recuo e logradouro público, o proprietário do imóvel deverá firmar termo de compromisso com</w:t>
      </w:r>
      <w:r w:rsidRPr="00411FDF">
        <w:rPr>
          <w:rFonts w:ascii="Palatino Linotype" w:hAnsi="Palatino Linotype" w:cs="LiberationSans"/>
          <w:lang w:eastAsia="en-US"/>
        </w:rPr>
        <w:t xml:space="preserve"> o Poder Público Municipal, reconhecido em cartório, no qual se comprometa a demolir a parte edificada irregularmente sobre o recuo ou logradouro público, quando solicitado pelo Município, sem direito de indenização, mesmo que paga a multa correspondente para a regularização prevista na presente Lei Complementar, a regularização não lhe confere qualquer direito sobre as propriedades lindeiras;</w:t>
      </w:r>
      <w:proofErr w:type="gramStart"/>
      <w:r>
        <w:rPr>
          <w:rFonts w:ascii="Palatino Linotype" w:hAnsi="Palatino Linotype" w:cs="LiberationSans"/>
          <w:lang w:eastAsia="en-US"/>
        </w:rPr>
        <w:t xml:space="preserve">  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proofErr w:type="gramEnd"/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§ 2º Sempre que a regularização tratar de afastamento lateral, o proprietário deverá apresentar declaração dos vizinhos lindeiros, reconhecido em cartório, que ficará anexado ao processo, onde estes não se opõem à irregularidade apresentada na edificação, isentando o Município de qualquer ação judicial futura, relativo ao direito de ventilação e iluminação da edificação existente ou da futura edificação, salvo em construções em que a parede em comum esteja situada na mesma edificação.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Art. 3º. Não serão passíveis de regularização, para os efeitos desta Lei Complementar, as edificações que: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I - apresentarem irregularidades não previstas nesta Lei Complementar;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II - estejam localizados em logradouros ou terrenos públicos ou que avancem sobre eles, exceto as saliências estruturais, ou decorativas, isoladas, de até 20 cm sobre o passeio, as projeções de sacadas e pavimentos superiores até o limite de 1,50 metros sobre passeios públicos;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III - estejam localizados em faixas não edificáveis junto a lagos, rios, córregos, fundo de vale, faixas de escoamento de águas pluviais, galerias, canalizações e linhas de transmissão de energia de alta tensão, bem como nas vias públicas municipais que contenham essa restrição;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IV - que desatendam o direito de vizinhança de que trata o Código Civil Brasileiro em vigor a menos que haja declaração expressa e firmada em cartório, de concessão dos vizinhos afetados</w:t>
      </w:r>
      <w:r>
        <w:rPr>
          <w:rFonts w:ascii="Palatino Linotype" w:hAnsi="Palatino Linotype" w:cs="LiberationSans"/>
          <w:lang w:eastAsia="en-US"/>
        </w:rPr>
        <w:t>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V - que não possuírem atestado de habite-se junto ao Corpo de Bombeiros Militar do Estado de Santa Catarina, exceto as edificações unifamiliares.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Parágrafo Único - Todas as obras irregulares que, por suas características construtivas resultem comprometimento da estrutura restante, edículas isoladas, sistemas construtivos de baixo custo e fácil demolição, não serão regularizadas e não poderão receber adequações ou ampliações.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Art. 4º. A regularização das construções de que cuida esta Lei Complementar, dependerá da apresentação pelo proprietário, compromissário comprador ou cessionário do imóvel dos seguintes documentos: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I - requerimento do interessado contendo: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a) a indicação da irregularidade requerida bem como as suas quantificações;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b) qualificação do requerente e localização da construção irregular;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c) solicitação de vistoria prévia, alinhamento e regularização da obra edificada.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II - cópia da Notificação emitida por fiscal de obras e posturas do Município</w:t>
      </w:r>
      <w:proofErr w:type="gramStart"/>
      <w:r w:rsidRPr="00411FDF">
        <w:rPr>
          <w:rFonts w:ascii="Palatino Linotype" w:hAnsi="Palatino Linotype" w:cs="LiberationSans"/>
          <w:lang w:eastAsia="en-US"/>
        </w:rPr>
        <w:t>, se for</w:t>
      </w:r>
      <w:proofErr w:type="gramEnd"/>
      <w:r w:rsidRPr="00411FDF">
        <w:rPr>
          <w:rFonts w:ascii="Palatino Linotype" w:hAnsi="Palatino Linotype" w:cs="LiberationSans"/>
          <w:lang w:eastAsia="en-US"/>
        </w:rPr>
        <w:t xml:space="preserve"> o caso;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III - comprovante de que a construção foi iniciada e/ou executada anteriormente à publicação desta Lei Complementar</w:t>
      </w:r>
      <w:r>
        <w:rPr>
          <w:rFonts w:ascii="Palatino Linotype" w:hAnsi="Palatino Linotype" w:cs="LiberationSans"/>
          <w:lang w:eastAsia="en-US"/>
        </w:rPr>
        <w:t xml:space="preserve">, </w:t>
      </w:r>
      <w:r w:rsidRPr="00EB3444">
        <w:rPr>
          <w:rFonts w:ascii="Palatino Linotype" w:hAnsi="Palatino Linotype" w:cs="LiberationSans"/>
          <w:lang w:eastAsia="en-US"/>
        </w:rPr>
        <w:t>sendo aceita a Certidão de Cadastro Imobiliário ou Declaração com firma reconhecida de 03 (três) vizinhos, atestando que a obra foi iniciada e/ou executada anteriormente à publicação desta Lei Complementar;</w:t>
      </w:r>
      <w:r>
        <w:rPr>
          <w:rFonts w:ascii="Palatino Linotype" w:hAnsi="Palatino Linotype" w:cs="LiberationSans"/>
          <w:lang w:eastAsia="en-US"/>
        </w:rPr>
        <w:t xml:space="preserve"> 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lastRenderedPageBreak/>
        <w:t>IV - declaração do interessado, responsabilizando-se sob as penas da Lei, pela veracidade das informações prestadas;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V - cópia da matrícula imobiliária, atualizada em no máximo 30 (trinta) dias;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83521F">
        <w:rPr>
          <w:rFonts w:ascii="Palatino Linotype" w:hAnsi="Palatino Linotype" w:cs="LiberationSans"/>
          <w:lang w:eastAsia="en-US"/>
        </w:rPr>
        <w:t xml:space="preserve">VI - certidão negativa de tributos </w:t>
      </w:r>
      <w:proofErr w:type="gramStart"/>
      <w:r w:rsidRPr="0083521F">
        <w:rPr>
          <w:rFonts w:ascii="Palatino Linotype" w:hAnsi="Palatino Linotype" w:cs="LiberationSans"/>
          <w:lang w:eastAsia="en-US"/>
        </w:rPr>
        <w:t>Municipais relativa ao imóvel</w:t>
      </w:r>
      <w:proofErr w:type="gramEnd"/>
      <w:r w:rsidRPr="0083521F">
        <w:rPr>
          <w:rFonts w:ascii="Palatino Linotype" w:hAnsi="Palatino Linotype" w:cs="LiberationSans"/>
          <w:lang w:eastAsia="en-US"/>
        </w:rPr>
        <w:t>;</w:t>
      </w:r>
      <w:r>
        <w:rPr>
          <w:rFonts w:ascii="Palatino Linotype" w:hAnsi="Palatino Linotype" w:cs="LiberationSans"/>
          <w:lang w:eastAsia="en-US"/>
        </w:rPr>
        <w:t xml:space="preserve"> 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VII - anotação de Responsabilidade Técnica referente à regularização da obra, com laudo técnico, informando as condições da edificação;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VIII - projeto arquitetônico da edificação, constando: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a) planta de situação;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b) planta de localização, constando, no mínimo, as cotas da situação real da edificação sobre o lote e planilha de áreas da mesma;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c) planta baixa de todos os pavimentos da edificação;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d) planta de cobertura;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 xml:space="preserve">e) </w:t>
      </w:r>
      <w:r w:rsidRPr="00411FDF">
        <w:rPr>
          <w:rFonts w:ascii="Palatino Linotype" w:hAnsi="Palatino Linotype" w:cs="LiberationSans"/>
          <w:lang w:eastAsia="en-US"/>
        </w:rPr>
        <w:t>dois (02) cortes, passando por locais que melhor identifiquem toda a edificação;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f) duas (02) fachadas;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g) índices urbanísticos.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 xml:space="preserve">IX - </w:t>
      </w:r>
      <w:r w:rsidRPr="00411FDF">
        <w:rPr>
          <w:rFonts w:ascii="Palatino Linotype" w:hAnsi="Palatino Linotype" w:cs="LiberationSans"/>
          <w:lang w:eastAsia="en-US"/>
        </w:rPr>
        <w:t>atestado de aprovação de projeto preventivo contra incêndio emitido pelo Corpo de Bombeiros Milita</w:t>
      </w:r>
      <w:r>
        <w:rPr>
          <w:rFonts w:ascii="Palatino Linotype" w:hAnsi="Palatino Linotype" w:cs="LiberationSans"/>
          <w:lang w:eastAsia="en-US"/>
        </w:rPr>
        <w:t>r do Estado de Santa Catarina, quando for o caso;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X – comprovação de aprovação de projeto pela CELESC, CASAN e Licenciamento ou Dispensa Ambiental emitida pelo órgão competente, quando for o caso;</w:t>
      </w:r>
      <w:r>
        <w:rPr>
          <w:rFonts w:ascii="Palatino Linotype" w:hAnsi="Palatino Linotype" w:cs="LiberationSans"/>
          <w:lang w:eastAsia="en-US"/>
        </w:rPr>
        <w:t xml:space="preserve"> 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X</w:t>
      </w:r>
      <w:r>
        <w:rPr>
          <w:rFonts w:ascii="Palatino Linotype" w:hAnsi="Palatino Linotype" w:cs="LiberationSans"/>
          <w:lang w:eastAsia="en-US"/>
        </w:rPr>
        <w:t>I</w:t>
      </w:r>
      <w:r w:rsidRPr="00411FDF">
        <w:rPr>
          <w:rFonts w:ascii="Palatino Linotype" w:hAnsi="Palatino Linotype" w:cs="LiberationSans"/>
          <w:lang w:eastAsia="en-US"/>
        </w:rPr>
        <w:t xml:space="preserve"> - anuência da Sociedade Condominial, quando for o caso;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X</w:t>
      </w:r>
      <w:r>
        <w:rPr>
          <w:rFonts w:ascii="Palatino Linotype" w:hAnsi="Palatino Linotype" w:cs="LiberationSans"/>
          <w:lang w:eastAsia="en-US"/>
        </w:rPr>
        <w:t>II</w:t>
      </w:r>
      <w:r w:rsidRPr="00411FDF">
        <w:rPr>
          <w:rFonts w:ascii="Palatino Linotype" w:hAnsi="Palatino Linotype" w:cs="LiberationSans"/>
          <w:lang w:eastAsia="en-US"/>
        </w:rPr>
        <w:t xml:space="preserve"> - comprovante dos seguintes recolhimentos: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 xml:space="preserve">a) </w:t>
      </w:r>
      <w:r w:rsidRPr="00411FDF">
        <w:rPr>
          <w:rFonts w:ascii="Palatino Linotype" w:hAnsi="Palatino Linotype" w:cs="LiberationSans"/>
          <w:lang w:eastAsia="en-US"/>
        </w:rPr>
        <w:t>taxa específica incidente sobre a área a ser regularizada, com valor correspondente ao da Taxa de Licença para Aprovação e Execução de Obras;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b) recolhimento do ISS (Imposto sobre Serviços de Qualquer Natureza) incidente sobre os serviços de construção civil, conforme o caso, de acordo com a Legislação vigente;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lastRenderedPageBreak/>
        <w:t>c) comprovante de recolhimento da multa correspondente à regularização da obra.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EB3444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>§ 1º A Secretaria de Administração e Fazenda poderá solicitar documentação complementar, desde que seja necessária para elucidar algum aspecto relativo à obra em regularização;</w:t>
      </w:r>
    </w:p>
    <w:p w:rsidR="003B44F5" w:rsidRPr="00EB3444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t xml:space="preserve">§ 2º Caso a documentação submetida à análise apresente qualquer dúvida, o interessado será notificado para, no prazo de 30 (trinta) dias, prestar esclarecimentos, </w:t>
      </w:r>
      <w:proofErr w:type="gramStart"/>
      <w:r w:rsidRPr="00EB3444">
        <w:rPr>
          <w:rFonts w:ascii="Palatino Linotype" w:hAnsi="Palatino Linotype" w:cs="LiberationSans"/>
          <w:lang w:eastAsia="en-US"/>
        </w:rPr>
        <w:t>sob pena</w:t>
      </w:r>
      <w:proofErr w:type="gramEnd"/>
      <w:r w:rsidRPr="00EB3444">
        <w:rPr>
          <w:rFonts w:ascii="Palatino Linotype" w:hAnsi="Palatino Linotype" w:cs="LiberationSans"/>
          <w:lang w:eastAsia="en-US"/>
        </w:rPr>
        <w:t xml:space="preserve"> de perda do direito à regularização da obra;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 xml:space="preserve">§ </w:t>
      </w:r>
      <w:proofErr w:type="gramStart"/>
      <w:r>
        <w:rPr>
          <w:rFonts w:ascii="Palatino Linotype" w:hAnsi="Palatino Linotype" w:cs="LiberationSans"/>
          <w:lang w:eastAsia="en-US"/>
        </w:rPr>
        <w:t>3</w:t>
      </w:r>
      <w:r w:rsidRPr="00411FDF">
        <w:rPr>
          <w:rFonts w:ascii="Palatino Linotype" w:hAnsi="Palatino Linotype" w:cs="LiberationSans"/>
          <w:lang w:eastAsia="en-US"/>
        </w:rPr>
        <w:t>º</w:t>
      </w:r>
      <w:r>
        <w:rPr>
          <w:rFonts w:ascii="Palatino Linotype" w:hAnsi="Palatino Linotype" w:cs="LiberationSans"/>
          <w:lang w:eastAsia="en-US"/>
        </w:rPr>
        <w:t xml:space="preserve"> Em relação ao contido no inciso III deste dispositivo, caso constatada</w:t>
      </w:r>
      <w:proofErr w:type="gramEnd"/>
      <w:r>
        <w:rPr>
          <w:rFonts w:ascii="Palatino Linotype" w:hAnsi="Palatino Linotype" w:cs="LiberationSans"/>
          <w:lang w:eastAsia="en-US"/>
        </w:rPr>
        <w:t xml:space="preserve"> qualquer falsidade nas informações prestadas, não será autorizada a regularização, além de ser encaminhada para autoridade competente para apuração dos crimes previstos no artigo 299 do Código Penal;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>§ 4</w:t>
      </w:r>
      <w:r w:rsidRPr="00411FDF">
        <w:rPr>
          <w:rFonts w:ascii="Palatino Linotype" w:hAnsi="Palatino Linotype" w:cs="LiberationSans"/>
          <w:lang w:eastAsia="en-US"/>
        </w:rPr>
        <w:t>º O valor referente à multa poderá ser parcelado em até 24 (vinte e quatro) parcelas mensais e sucessivas, convertidas em UFRM por ocasião do parcelamento, porém, a emissão do Alvará de Habite-se, ficará condicionada ao pagamento integral da multa;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 xml:space="preserve">§ </w:t>
      </w:r>
      <w:r>
        <w:rPr>
          <w:rFonts w:ascii="Palatino Linotype" w:hAnsi="Palatino Linotype" w:cs="LiberationSans"/>
          <w:lang w:eastAsia="en-US"/>
        </w:rPr>
        <w:t>5</w:t>
      </w:r>
      <w:r w:rsidRPr="00411FDF">
        <w:rPr>
          <w:rFonts w:ascii="Palatino Linotype" w:hAnsi="Palatino Linotype" w:cs="LiberationSans"/>
          <w:lang w:eastAsia="en-US"/>
        </w:rPr>
        <w:t xml:space="preserve">º A emissão do Alvará de Habite-se dependerá da comprovação do pagamento integral da multa, e da apresentação da documentação relativa aos projetos complementares, inclusive o atestado de aprovação de vistoria para habite-se, expedido pelo Corpo de Bombeiros, </w:t>
      </w:r>
      <w:r>
        <w:rPr>
          <w:rFonts w:ascii="Palatino Linotype" w:hAnsi="Palatino Linotype" w:cs="LiberationSans"/>
          <w:lang w:eastAsia="en-US"/>
        </w:rPr>
        <w:t>quando for o caso</w:t>
      </w:r>
      <w:r w:rsidRPr="00411FDF">
        <w:rPr>
          <w:rFonts w:ascii="Palatino Linotype" w:hAnsi="Palatino Linotype" w:cs="LiberationSans"/>
          <w:lang w:eastAsia="en-US"/>
        </w:rPr>
        <w:t>.</w:t>
      </w:r>
    </w:p>
    <w:p w:rsidR="003B44F5" w:rsidRDefault="003B44F5" w:rsidP="003B44F5">
      <w:pPr>
        <w:tabs>
          <w:tab w:val="left" w:pos="2514"/>
        </w:tabs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>
        <w:rPr>
          <w:rFonts w:ascii="Palatino Linotype" w:hAnsi="Palatino Linotype" w:cs="LiberationSans"/>
          <w:lang w:eastAsia="en-US"/>
        </w:rPr>
        <w:tab/>
      </w:r>
    </w:p>
    <w:p w:rsidR="003B44F5" w:rsidRPr="00411FDF" w:rsidRDefault="003B44F5" w:rsidP="003B44F5">
      <w:pPr>
        <w:tabs>
          <w:tab w:val="left" w:pos="2514"/>
        </w:tabs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Art. 5º. As regularizações, para qualquer tipo de edificação dependerão do pagamento de multa de regularização,</w:t>
      </w:r>
      <w:r>
        <w:rPr>
          <w:rFonts w:ascii="Palatino Linotype" w:hAnsi="Palatino Linotype" w:cs="LiberationSans"/>
          <w:lang w:eastAsia="en-US"/>
        </w:rPr>
        <w:t xml:space="preserve"> que fica fixada conforme </w:t>
      </w:r>
      <w:r w:rsidRPr="00411FDF">
        <w:rPr>
          <w:rFonts w:ascii="Palatino Linotype" w:hAnsi="Palatino Linotype" w:cs="LiberationSans"/>
          <w:lang w:eastAsia="en-US"/>
        </w:rPr>
        <w:t>os seguintes critérios: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EB3444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I - tratando-se de edificações construídas sobre o recuo ou com projeção de sacadas e pavimentos superiores sobre o recuo e logradouro público, a multa será calculada à razão d</w:t>
      </w:r>
      <w:r>
        <w:rPr>
          <w:rFonts w:ascii="Palatino Linotype" w:hAnsi="Palatino Linotype" w:cs="LiberationSans"/>
          <w:lang w:eastAsia="en-US"/>
        </w:rPr>
        <w:t>e 5% (cinco</w:t>
      </w:r>
      <w:r w:rsidRPr="00411FDF">
        <w:rPr>
          <w:rFonts w:ascii="Palatino Linotype" w:hAnsi="Palatino Linotype" w:cs="LiberationSans"/>
          <w:lang w:eastAsia="en-US"/>
        </w:rPr>
        <w:t xml:space="preserve"> por cento) do CUB/SC (Custo Unitário Básico da Construção </w:t>
      </w:r>
      <w:r w:rsidRPr="00EB3444">
        <w:rPr>
          <w:rFonts w:ascii="Palatino Linotype" w:hAnsi="Palatino Linotype" w:cs="LiberationSans"/>
          <w:lang w:eastAsia="en-US"/>
        </w:rPr>
        <w:t>Civil), por metro quadrado de área construída irregularmente;</w:t>
      </w:r>
    </w:p>
    <w:p w:rsidR="003B44F5" w:rsidRPr="00EB3444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EB3444">
        <w:rPr>
          <w:rFonts w:ascii="Palatino Linotype" w:hAnsi="Palatino Linotype" w:cs="LiberationSans"/>
          <w:lang w:eastAsia="en-US"/>
        </w:rPr>
        <w:lastRenderedPageBreak/>
        <w:t>II - tratando-se de edificações com taxa de ocupação maior que a prevista na Legislação, a multa será calculada à razão de 5% (cinco por cento) do CUB/SC (Custo Unitário Básico da Construção Civil), por metro quadrado de área construída irregularmente;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III - tratando-se de edificações com coeficiente de aproveitamento maior que o previsto na legislação, a mu</w:t>
      </w:r>
      <w:r>
        <w:rPr>
          <w:rFonts w:ascii="Palatino Linotype" w:hAnsi="Palatino Linotype" w:cs="LiberationSans"/>
          <w:lang w:eastAsia="en-US"/>
        </w:rPr>
        <w:t>lta será calculada à razão de 5% (cinco</w:t>
      </w:r>
      <w:r w:rsidRPr="00411FDF">
        <w:rPr>
          <w:rFonts w:ascii="Palatino Linotype" w:hAnsi="Palatino Linotype" w:cs="LiberationSans"/>
          <w:lang w:eastAsia="en-US"/>
        </w:rPr>
        <w:t xml:space="preserve"> por cento) do CUB/SC (Custo Unitário Básico da Construção Civil), por metro quadrado de área construída irregularmente;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 xml:space="preserve">V - para as demais irregularidades passíveis de regularização, a multa será calculada à </w:t>
      </w:r>
      <w:r>
        <w:rPr>
          <w:rFonts w:ascii="Palatino Linotype" w:hAnsi="Palatino Linotype" w:cs="LiberationSans"/>
          <w:lang w:eastAsia="en-US"/>
        </w:rPr>
        <w:t>razão de 5% (cinco</w:t>
      </w:r>
      <w:r w:rsidRPr="00411FDF">
        <w:rPr>
          <w:rFonts w:ascii="Palatino Linotype" w:hAnsi="Palatino Linotype" w:cs="LiberationSans"/>
          <w:lang w:eastAsia="en-US"/>
        </w:rPr>
        <w:t xml:space="preserve"> por cento) do CUB/SC (Custo Unitário Básico da Construção Civil), por irregularidade constatada.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VI - tratando-se de edificações descritas no Inciso IV do Art. 2º, será isento de multa.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§ 1º Em caso de incidência de mais de uma das irregularidades acima, as multas serão cobradas c</w:t>
      </w:r>
      <w:r>
        <w:rPr>
          <w:rFonts w:ascii="Palatino Linotype" w:hAnsi="Palatino Linotype" w:cs="LiberationSans"/>
          <w:lang w:eastAsia="en-US"/>
        </w:rPr>
        <w:t>umulativamente, conforme o caso.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§ 2º O CUB a ser adotado será o referente ao tipo da obra a ser regularizada, conforme tabelas Oficiais do CUB/SC (Custo Unitário Básico da Construção Civil)-SINDUSCON.</w:t>
      </w: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83521F">
        <w:rPr>
          <w:rFonts w:ascii="Palatino Linotype" w:hAnsi="Palatino Linotype" w:cs="LiberationSans"/>
          <w:lang w:eastAsia="en-US"/>
        </w:rPr>
        <w:t>Art. 6º. Os processos e as notificações para regularização de edificação em andamento com protocolo na data da publicação desta Lei Complementar</w:t>
      </w:r>
      <w:proofErr w:type="gramStart"/>
      <w:r w:rsidRPr="0083521F">
        <w:rPr>
          <w:rFonts w:ascii="Palatino Linotype" w:hAnsi="Palatino Linotype" w:cs="LiberationSans"/>
          <w:lang w:eastAsia="en-US"/>
        </w:rPr>
        <w:t>, poderão</w:t>
      </w:r>
      <w:proofErr w:type="gramEnd"/>
      <w:r w:rsidRPr="0083521F">
        <w:rPr>
          <w:rFonts w:ascii="Palatino Linotype" w:hAnsi="Palatino Linotype" w:cs="LiberationSans"/>
          <w:lang w:eastAsia="en-US"/>
        </w:rPr>
        <w:t xml:space="preserve"> ser analisados segundo os parâmetros estabelecidos nesta Lei Complementar, desde que haja manifestação expressa do interessado, além da apresentação dos documentos previstos no art. 4º</w:t>
      </w:r>
      <w:r>
        <w:rPr>
          <w:rFonts w:ascii="Palatino Linotype" w:hAnsi="Palatino Linotype" w:cs="LiberationSans"/>
          <w:lang w:eastAsia="en-US"/>
        </w:rPr>
        <w:t xml:space="preserve"> e pagamento da multa</w:t>
      </w:r>
      <w:r w:rsidRPr="0083521F">
        <w:rPr>
          <w:rFonts w:ascii="Palatino Linotype" w:hAnsi="Palatino Linotype" w:cs="LiberationSans"/>
          <w:lang w:eastAsia="en-US"/>
        </w:rPr>
        <w:t>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411FDF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 xml:space="preserve">Art. 7º. Os processos relativos à regularização nos termos desta Lei serão analisados </w:t>
      </w:r>
      <w:r>
        <w:rPr>
          <w:rFonts w:ascii="Palatino Linotype" w:hAnsi="Palatino Linotype" w:cs="LiberationSans"/>
          <w:lang w:eastAsia="en-US"/>
        </w:rPr>
        <w:t xml:space="preserve">por uma comissão composta por </w:t>
      </w:r>
      <w:proofErr w:type="gramStart"/>
      <w:r>
        <w:rPr>
          <w:rFonts w:ascii="Palatino Linotype" w:hAnsi="Palatino Linotype" w:cs="LiberationSans"/>
          <w:lang w:eastAsia="en-US"/>
        </w:rPr>
        <w:t>3</w:t>
      </w:r>
      <w:proofErr w:type="gramEnd"/>
      <w:r>
        <w:rPr>
          <w:rFonts w:ascii="Palatino Linotype" w:hAnsi="Palatino Linotype" w:cs="LiberationSans"/>
          <w:lang w:eastAsia="en-US"/>
        </w:rPr>
        <w:t xml:space="preserve"> (três) servidores municipais, que serão designados por ato específico</w:t>
      </w:r>
      <w:r w:rsidRPr="00411FDF">
        <w:rPr>
          <w:rFonts w:ascii="Palatino Linotype" w:hAnsi="Palatino Linotype" w:cs="LiberationSans"/>
          <w:lang w:eastAsia="en-US"/>
        </w:rPr>
        <w:t>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 xml:space="preserve">Art. 8º. Para </w:t>
      </w:r>
      <w:proofErr w:type="gramStart"/>
      <w:r w:rsidRPr="00411FDF">
        <w:rPr>
          <w:rFonts w:ascii="Palatino Linotype" w:hAnsi="Palatino Linotype" w:cs="LiberationSans"/>
          <w:lang w:eastAsia="en-US"/>
        </w:rPr>
        <w:t>todos os casos de regularização previsto na presente Lei Complementar</w:t>
      </w:r>
      <w:proofErr w:type="gramEnd"/>
      <w:r w:rsidRPr="00411FDF">
        <w:rPr>
          <w:rFonts w:ascii="Palatino Linotype" w:hAnsi="Palatino Linotype" w:cs="LiberationSans"/>
          <w:lang w:eastAsia="en-US"/>
        </w:rPr>
        <w:t>, deverá constar no selo de identificação de cada prancha: "REGULARIZAÇÃO DE OBRA, CONFORME A LEI COMPLEMENTAR Nº ".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lastRenderedPageBreak/>
        <w:t>Art. 9º. As regularizações das construções localizadas em vias não oficializadas, loteamentos ou desmembramentos não aprovados pelo Poder Público Municipal, dependerão de prévia regularização do parcelamento do solo, observada a Legislação Municipal vigente.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Art. 10. A regularização da edificação não dispensa o interessado do cumprimento das demais exigências previstas no Plano Diretor quanto à atividade exercida no imóvel.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Art. 11. A regularização de que trata esta Lei Complementar, não implica o reconhecimento, pelo Poder Público Municipal, do direito de propriedade.</w:t>
      </w:r>
    </w:p>
    <w:p w:rsidR="003B44F5" w:rsidRPr="00411FDF" w:rsidRDefault="003B44F5" w:rsidP="003B44F5">
      <w:pPr>
        <w:autoSpaceDE w:val="0"/>
        <w:autoSpaceDN w:val="0"/>
        <w:adjustRightInd w:val="0"/>
        <w:ind w:firstLine="708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Art. 1</w:t>
      </w:r>
      <w:r>
        <w:rPr>
          <w:rFonts w:ascii="Palatino Linotype" w:hAnsi="Palatino Linotype" w:cs="LiberationSans"/>
          <w:lang w:eastAsia="en-US"/>
        </w:rPr>
        <w:t>2</w:t>
      </w:r>
      <w:r w:rsidRPr="00411FDF">
        <w:rPr>
          <w:rFonts w:ascii="Palatino Linotype" w:hAnsi="Palatino Linotype" w:cs="LiberationSans"/>
          <w:lang w:eastAsia="en-US"/>
        </w:rPr>
        <w:t>. Para fazer face às despesas decorrentes da aplicação desta Lei Complementar serão utilizados recursos orçamentários próprios.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  <w:r w:rsidRPr="00411FDF">
        <w:rPr>
          <w:rFonts w:ascii="Palatino Linotype" w:hAnsi="Palatino Linotype" w:cs="LiberationSans"/>
          <w:lang w:eastAsia="en-US"/>
        </w:rPr>
        <w:t>Art.</w:t>
      </w:r>
      <w:r>
        <w:rPr>
          <w:rFonts w:ascii="Palatino Linotype" w:hAnsi="Palatino Linotype" w:cs="LiberationSans"/>
          <w:lang w:eastAsia="en-US"/>
        </w:rPr>
        <w:t xml:space="preserve"> 13</w:t>
      </w:r>
      <w:r w:rsidRPr="00411FDF">
        <w:rPr>
          <w:rFonts w:ascii="Palatino Linotype" w:hAnsi="Palatino Linotype" w:cs="LiberationSans"/>
          <w:lang w:eastAsia="en-US"/>
        </w:rPr>
        <w:t>. Esta Lei Complementar entra em vigor na data de sua publicação</w:t>
      </w:r>
      <w:r>
        <w:rPr>
          <w:rFonts w:ascii="Palatino Linotype" w:hAnsi="Palatino Linotype" w:cs="LiberationSans"/>
          <w:lang w:eastAsia="en-US"/>
        </w:rPr>
        <w:t>.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Pr="00B24778" w:rsidRDefault="003B44F5" w:rsidP="003B44F5">
      <w:pPr>
        <w:jc w:val="both"/>
        <w:rPr>
          <w:rFonts w:ascii="Palatino Linotype" w:hAnsi="Palatino Linotype" w:cs="Courier New"/>
        </w:rPr>
      </w:pPr>
      <w:r w:rsidRPr="00B24778">
        <w:rPr>
          <w:rFonts w:ascii="Palatino Linotype" w:hAnsi="Palatino Linotype" w:cs="Courier New"/>
        </w:rPr>
        <w:t>GABINETE DO PREFEITO MUNICIPAL DE GUARUJÁ DO SUL – SC</w:t>
      </w:r>
    </w:p>
    <w:p w:rsidR="003B44F5" w:rsidRPr="00B24778" w:rsidRDefault="003B44F5" w:rsidP="003B44F5">
      <w:pPr>
        <w:jc w:val="both"/>
        <w:rPr>
          <w:rFonts w:ascii="Palatino Linotype" w:hAnsi="Palatino Linotype" w:cs="Courier New"/>
        </w:rPr>
      </w:pPr>
      <w:r>
        <w:rPr>
          <w:rFonts w:ascii="Palatino Linotype" w:hAnsi="Palatino Linotype" w:cs="Courier New"/>
        </w:rPr>
        <w:t>26</w:t>
      </w:r>
      <w:r w:rsidRPr="00B24778">
        <w:rPr>
          <w:rFonts w:ascii="Palatino Linotype" w:hAnsi="Palatino Linotype" w:cs="Courier New"/>
        </w:rPr>
        <w:t xml:space="preserve"> de </w:t>
      </w:r>
      <w:r>
        <w:rPr>
          <w:rFonts w:ascii="Palatino Linotype" w:hAnsi="Palatino Linotype" w:cs="Courier New"/>
        </w:rPr>
        <w:t xml:space="preserve">Maio </w:t>
      </w:r>
      <w:r w:rsidRPr="00B24778">
        <w:rPr>
          <w:rFonts w:ascii="Palatino Linotype" w:hAnsi="Palatino Linotype" w:cs="Courier New"/>
        </w:rPr>
        <w:t>de 20</w:t>
      </w:r>
      <w:r>
        <w:rPr>
          <w:rFonts w:ascii="Palatino Linotype" w:hAnsi="Palatino Linotype" w:cs="Courier New"/>
        </w:rPr>
        <w:t>20</w:t>
      </w:r>
    </w:p>
    <w:p w:rsidR="003B44F5" w:rsidRPr="00B24778" w:rsidRDefault="003B44F5" w:rsidP="003B44F5">
      <w:pPr>
        <w:jc w:val="both"/>
        <w:rPr>
          <w:rFonts w:ascii="Palatino Linotype" w:hAnsi="Palatino Linotype" w:cs="Courier New"/>
        </w:rPr>
      </w:pPr>
      <w:r w:rsidRPr="00B24778">
        <w:rPr>
          <w:rFonts w:ascii="Palatino Linotype" w:hAnsi="Palatino Linotype" w:cs="Courier New"/>
        </w:rPr>
        <w:t>68º ano da Fundação e 57º ano da Instalação.</w:t>
      </w:r>
    </w:p>
    <w:p w:rsidR="003B44F5" w:rsidRDefault="003B44F5" w:rsidP="003B44F5">
      <w:pPr>
        <w:spacing w:after="120"/>
        <w:jc w:val="both"/>
        <w:rPr>
          <w:rFonts w:ascii="Palatino Linotype" w:hAnsi="Palatino Linotype" w:cs="Courier New"/>
        </w:rPr>
      </w:pPr>
    </w:p>
    <w:p w:rsidR="003B44F5" w:rsidRPr="00B24778" w:rsidRDefault="003B44F5" w:rsidP="003B44F5">
      <w:pPr>
        <w:spacing w:after="120"/>
        <w:jc w:val="both"/>
        <w:rPr>
          <w:rFonts w:ascii="Palatino Linotype" w:hAnsi="Palatino Linotype" w:cs="Courier New"/>
        </w:rPr>
      </w:pPr>
    </w:p>
    <w:p w:rsidR="003B44F5" w:rsidRDefault="003B44F5" w:rsidP="003B44F5">
      <w:pPr>
        <w:jc w:val="center"/>
        <w:rPr>
          <w:rFonts w:ascii="Palatino Linotype" w:hAnsi="Palatino Linotype" w:cs="Courier New"/>
          <w:b/>
          <w:sz w:val="22"/>
          <w:szCs w:val="22"/>
        </w:rPr>
      </w:pPr>
      <w:r>
        <w:rPr>
          <w:rFonts w:ascii="Palatino Linotype" w:hAnsi="Palatino Linotype" w:cs="Courier New"/>
          <w:b/>
          <w:sz w:val="22"/>
          <w:szCs w:val="22"/>
        </w:rPr>
        <w:t>Claudio Júnior Weschenfelder</w:t>
      </w:r>
    </w:p>
    <w:p w:rsidR="003B44F5" w:rsidRDefault="003B44F5" w:rsidP="003B44F5">
      <w:pPr>
        <w:jc w:val="center"/>
        <w:rPr>
          <w:rFonts w:ascii="Palatino Linotype" w:hAnsi="Palatino Linotype" w:cs="Courier New"/>
          <w:b/>
          <w:sz w:val="22"/>
          <w:szCs w:val="22"/>
        </w:rPr>
      </w:pPr>
      <w:r>
        <w:rPr>
          <w:rFonts w:ascii="Palatino Linotype" w:hAnsi="Palatino Linotype" w:cs="Courier New"/>
          <w:b/>
          <w:sz w:val="22"/>
          <w:szCs w:val="22"/>
        </w:rPr>
        <w:t>Prefeito Municipal.</w:t>
      </w:r>
    </w:p>
    <w:p w:rsidR="003B44F5" w:rsidRDefault="003B44F5" w:rsidP="003B44F5">
      <w:pPr>
        <w:jc w:val="center"/>
        <w:rPr>
          <w:rFonts w:ascii="Palatino Linotype" w:hAnsi="Palatino Linotype" w:cs="Courier New"/>
          <w:b/>
          <w:sz w:val="22"/>
          <w:szCs w:val="22"/>
        </w:rPr>
      </w:pPr>
    </w:p>
    <w:p w:rsidR="003B44F5" w:rsidRDefault="003B44F5" w:rsidP="003B44F5">
      <w:pPr>
        <w:jc w:val="both"/>
        <w:rPr>
          <w:rFonts w:ascii="Palatino Linotype" w:hAnsi="Palatino Linotype" w:cs="Courier New"/>
          <w:sz w:val="22"/>
          <w:szCs w:val="22"/>
        </w:rPr>
      </w:pPr>
      <w:r>
        <w:rPr>
          <w:rFonts w:ascii="Palatino Linotype" w:hAnsi="Palatino Linotype" w:cs="Courier New"/>
          <w:sz w:val="22"/>
          <w:szCs w:val="22"/>
        </w:rPr>
        <w:t>Certifico que a Presente Lei foi publicada e registrada nesta Secretaria em data supra.</w:t>
      </w:r>
    </w:p>
    <w:p w:rsidR="003B44F5" w:rsidRDefault="003B44F5" w:rsidP="003B44F5">
      <w:pPr>
        <w:jc w:val="both"/>
        <w:rPr>
          <w:rFonts w:ascii="Palatino Linotype" w:hAnsi="Palatino Linotype" w:cs="Courier New"/>
          <w:sz w:val="22"/>
          <w:szCs w:val="22"/>
        </w:rPr>
      </w:pPr>
    </w:p>
    <w:p w:rsidR="003B44F5" w:rsidRDefault="003B44F5" w:rsidP="003B44F5">
      <w:pPr>
        <w:jc w:val="both"/>
        <w:rPr>
          <w:rFonts w:ascii="Palatino Linotype" w:hAnsi="Palatino Linotype" w:cs="Courier New"/>
          <w:sz w:val="22"/>
          <w:szCs w:val="22"/>
        </w:rPr>
      </w:pPr>
    </w:p>
    <w:p w:rsidR="003B44F5" w:rsidRDefault="003B44F5" w:rsidP="003B44F5">
      <w:pPr>
        <w:jc w:val="both"/>
        <w:rPr>
          <w:rFonts w:ascii="Palatino Linotype" w:hAnsi="Palatino Linotype" w:cs="Courier New"/>
          <w:sz w:val="22"/>
          <w:szCs w:val="22"/>
        </w:rPr>
      </w:pPr>
      <w:bookmarkStart w:id="0" w:name="_GoBack"/>
      <w:bookmarkEnd w:id="0"/>
    </w:p>
    <w:p w:rsidR="003B44F5" w:rsidRDefault="003B44F5" w:rsidP="003B44F5">
      <w:pPr>
        <w:jc w:val="center"/>
        <w:rPr>
          <w:rFonts w:ascii="Palatino Linotype" w:hAnsi="Palatino Linotype" w:cs="Courier New"/>
          <w:b/>
          <w:sz w:val="22"/>
          <w:szCs w:val="22"/>
        </w:rPr>
      </w:pPr>
      <w:r>
        <w:rPr>
          <w:rFonts w:ascii="Palatino Linotype" w:hAnsi="Palatino Linotype" w:cs="Courier New"/>
          <w:b/>
          <w:sz w:val="22"/>
          <w:szCs w:val="22"/>
        </w:rPr>
        <w:t>Julio Cesar Della Flora</w:t>
      </w:r>
    </w:p>
    <w:p w:rsidR="003B44F5" w:rsidRDefault="003B44F5" w:rsidP="003B44F5">
      <w:pPr>
        <w:jc w:val="center"/>
        <w:rPr>
          <w:rFonts w:ascii="Palatino Linotype" w:hAnsi="Palatino Linotype" w:cs="Times New Roman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>Secretaria de Administração e Fazenda</w:t>
      </w: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3B44F5" w:rsidRDefault="003B44F5" w:rsidP="003B44F5">
      <w:pPr>
        <w:autoSpaceDE w:val="0"/>
        <w:autoSpaceDN w:val="0"/>
        <w:adjustRightInd w:val="0"/>
        <w:jc w:val="both"/>
        <w:rPr>
          <w:rFonts w:ascii="Palatino Linotype" w:hAnsi="Palatino Linotype" w:cs="LiberationSans"/>
          <w:lang w:eastAsia="en-US"/>
        </w:rPr>
      </w:pPr>
    </w:p>
    <w:p w:rsidR="00AB7057" w:rsidRDefault="00AB7057"/>
    <w:sectPr w:rsidR="00AB7057" w:rsidSect="003B44F5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4F5"/>
    <w:rsid w:val="00274047"/>
    <w:rsid w:val="003B44F5"/>
    <w:rsid w:val="00AB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4F5"/>
    <w:pPr>
      <w:spacing w:after="0" w:line="240" w:lineRule="auto"/>
    </w:pPr>
    <w:rPr>
      <w:rFonts w:ascii="Times New Roman" w:hAnsi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74047"/>
    <w:pPr>
      <w:spacing w:after="0" w:line="240" w:lineRule="auto"/>
    </w:pPr>
  </w:style>
  <w:style w:type="paragraph" w:styleId="Recuodecorpodetexto2">
    <w:name w:val="Body Text Indent 2"/>
    <w:basedOn w:val="Normal"/>
    <w:link w:val="Recuodecorpodetexto2Char"/>
    <w:rsid w:val="003B44F5"/>
    <w:pPr>
      <w:spacing w:after="120" w:line="480" w:lineRule="auto"/>
      <w:ind w:left="283"/>
    </w:pPr>
    <w:rPr>
      <w:rFonts w:eastAsia="MS Mincho"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rsid w:val="003B44F5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4F5"/>
    <w:pPr>
      <w:spacing w:after="0" w:line="240" w:lineRule="auto"/>
    </w:pPr>
    <w:rPr>
      <w:rFonts w:ascii="Times New Roman" w:hAnsi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74047"/>
    <w:pPr>
      <w:spacing w:after="0" w:line="240" w:lineRule="auto"/>
    </w:pPr>
  </w:style>
  <w:style w:type="paragraph" w:styleId="Recuodecorpodetexto2">
    <w:name w:val="Body Text Indent 2"/>
    <w:basedOn w:val="Normal"/>
    <w:link w:val="Recuodecorpodetexto2Char"/>
    <w:rsid w:val="003B44F5"/>
    <w:pPr>
      <w:spacing w:after="120" w:line="480" w:lineRule="auto"/>
      <w:ind w:left="283"/>
    </w:pPr>
    <w:rPr>
      <w:rFonts w:eastAsia="MS Mincho"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rsid w:val="003B44F5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2349</Words>
  <Characters>12689</Characters>
  <Application>Microsoft Office Word</Application>
  <DocSecurity>0</DocSecurity>
  <Lines>105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2020-05-26T20:02:00Z</dcterms:created>
  <dcterms:modified xsi:type="dcterms:W3CDTF">2020-05-26T20:05:00Z</dcterms:modified>
</cp:coreProperties>
</file>