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7AA5C2" w14:textId="77777777" w:rsidR="00AC366A" w:rsidRDefault="00AC366A" w:rsidP="007819AC">
      <w:pPr>
        <w:spacing w:line="288" w:lineRule="auto"/>
        <w:jc w:val="center"/>
        <w:rPr>
          <w:rFonts w:ascii="Century Gothic" w:hAnsi="Century Gothic" w:cs="Arial"/>
          <w:b/>
          <w:color w:val="000000"/>
          <w:u w:val="single"/>
        </w:rPr>
      </w:pPr>
    </w:p>
    <w:p w14:paraId="2235DF31" w14:textId="77777777" w:rsidR="00713750" w:rsidRPr="00D7763B" w:rsidRDefault="00713750" w:rsidP="007819AC">
      <w:pPr>
        <w:spacing w:line="288" w:lineRule="auto"/>
        <w:jc w:val="center"/>
        <w:rPr>
          <w:rFonts w:ascii="Century Gothic" w:hAnsi="Century Gothic" w:cs="Arial"/>
          <w:b/>
          <w:color w:val="000000"/>
          <w:u w:val="single"/>
        </w:rPr>
      </w:pPr>
      <w:r w:rsidRPr="00D7763B">
        <w:rPr>
          <w:rFonts w:ascii="Century Gothic" w:hAnsi="Century Gothic" w:cs="Arial"/>
          <w:b/>
          <w:color w:val="000000"/>
          <w:u w:val="single"/>
        </w:rPr>
        <w:t>INDICAÇÃO nº.</w:t>
      </w:r>
      <w:r w:rsidR="00D7763B">
        <w:rPr>
          <w:rFonts w:ascii="Century Gothic" w:hAnsi="Century Gothic" w:cs="Arial"/>
          <w:b/>
          <w:color w:val="000000"/>
          <w:u w:val="single"/>
        </w:rPr>
        <w:t xml:space="preserve"> 73</w:t>
      </w:r>
      <w:r w:rsidRPr="00D7763B">
        <w:rPr>
          <w:rFonts w:ascii="Century Gothic" w:hAnsi="Century Gothic" w:cs="Arial"/>
          <w:b/>
          <w:color w:val="000000"/>
          <w:u w:val="single"/>
        </w:rPr>
        <w:t>/2023</w:t>
      </w:r>
    </w:p>
    <w:p w14:paraId="07C01ADE" w14:textId="77777777" w:rsidR="00713750" w:rsidRPr="00D7763B" w:rsidRDefault="00713750" w:rsidP="007819AC">
      <w:pPr>
        <w:spacing w:line="288" w:lineRule="auto"/>
        <w:jc w:val="both"/>
        <w:rPr>
          <w:rFonts w:ascii="Century Gothic" w:hAnsi="Century Gothic" w:cs="Arial"/>
          <w:color w:val="000000"/>
        </w:rPr>
      </w:pPr>
    </w:p>
    <w:p w14:paraId="6FD375BC" w14:textId="77777777" w:rsidR="00713750" w:rsidRPr="00D7763B" w:rsidRDefault="00713750" w:rsidP="007819AC">
      <w:pPr>
        <w:spacing w:line="288" w:lineRule="auto"/>
        <w:jc w:val="both"/>
        <w:rPr>
          <w:rFonts w:ascii="Century Gothic" w:hAnsi="Century Gothic" w:cs="Arial"/>
          <w:color w:val="000000"/>
        </w:rPr>
      </w:pPr>
    </w:p>
    <w:p w14:paraId="1E58AB41" w14:textId="77777777" w:rsidR="00D7763B" w:rsidRPr="00D7763B" w:rsidRDefault="00D7763B" w:rsidP="007819AC">
      <w:pPr>
        <w:spacing w:line="288" w:lineRule="auto"/>
        <w:jc w:val="both"/>
        <w:rPr>
          <w:rFonts w:ascii="Century Gothic" w:hAnsi="Century Gothic" w:cs="Arial"/>
          <w:color w:val="000000"/>
        </w:rPr>
      </w:pPr>
    </w:p>
    <w:p w14:paraId="4AAE9D20" w14:textId="77777777" w:rsidR="00D7763B" w:rsidRPr="00D7763B" w:rsidRDefault="00D7763B" w:rsidP="007819AC">
      <w:pPr>
        <w:spacing w:line="288" w:lineRule="auto"/>
        <w:ind w:firstLine="2268"/>
        <w:jc w:val="both"/>
        <w:rPr>
          <w:rFonts w:ascii="Century Gothic" w:hAnsi="Century Gothic" w:cs="Arial"/>
          <w:color w:val="000000"/>
        </w:rPr>
      </w:pPr>
      <w:r w:rsidRPr="00D7763B">
        <w:rPr>
          <w:rFonts w:ascii="Century Gothic" w:hAnsi="Century Gothic" w:cs="Arial"/>
          <w:color w:val="000000"/>
        </w:rPr>
        <w:t xml:space="preserve">O vereador </w:t>
      </w:r>
      <w:r w:rsidRPr="00D7763B">
        <w:rPr>
          <w:rFonts w:ascii="Century Gothic" w:hAnsi="Century Gothic" w:cs="Arial"/>
          <w:b/>
          <w:color w:val="000000"/>
        </w:rPr>
        <w:t>JENAURO HRUBA</w:t>
      </w:r>
      <w:r w:rsidRPr="00D7763B">
        <w:rPr>
          <w:rFonts w:ascii="Century Gothic" w:hAnsi="Century Gothic" w:cs="Arial"/>
          <w:color w:val="000000"/>
        </w:rPr>
        <w:t>, em conformidade com o contido no art</w:t>
      </w:r>
      <w:r>
        <w:rPr>
          <w:rFonts w:ascii="Century Gothic" w:hAnsi="Century Gothic" w:cs="Arial"/>
          <w:color w:val="000000"/>
        </w:rPr>
        <w:t>.</w:t>
      </w:r>
      <w:r w:rsidRPr="00D7763B">
        <w:rPr>
          <w:rFonts w:ascii="Century Gothic" w:hAnsi="Century Gothic" w:cs="Arial"/>
          <w:color w:val="000000"/>
        </w:rPr>
        <w:t xml:space="preserve"> 130</w:t>
      </w:r>
      <w:r w:rsidRPr="00D7763B">
        <w:rPr>
          <w:rStyle w:val="Refdenotaderodap"/>
          <w:rFonts w:ascii="Century Gothic" w:hAnsi="Century Gothic" w:cs="Arial"/>
          <w:color w:val="000000"/>
        </w:rPr>
        <w:footnoteReference w:id="1"/>
      </w:r>
      <w:r w:rsidRPr="00D7763B">
        <w:rPr>
          <w:rFonts w:ascii="Century Gothic" w:hAnsi="Century Gothic" w:cs="Arial"/>
          <w:color w:val="000000"/>
        </w:rPr>
        <w:t xml:space="preserve"> do Regimento Interno, </w:t>
      </w:r>
      <w:r w:rsidRPr="00D7763B">
        <w:rPr>
          <w:rFonts w:ascii="Century Gothic" w:hAnsi="Century Gothic" w:cs="Arial"/>
          <w:b/>
          <w:color w:val="000000"/>
          <w:u w:val="single"/>
        </w:rPr>
        <w:t>INDICA</w:t>
      </w:r>
      <w:r w:rsidRPr="00D7763B">
        <w:rPr>
          <w:rFonts w:ascii="Century Gothic" w:hAnsi="Century Gothic" w:cs="Arial"/>
          <w:color w:val="000000"/>
        </w:rPr>
        <w:t xml:space="preserve"> ao </w:t>
      </w:r>
      <w:r>
        <w:rPr>
          <w:rFonts w:ascii="Century Gothic" w:hAnsi="Century Gothic" w:cs="Arial"/>
          <w:color w:val="000000"/>
        </w:rPr>
        <w:t xml:space="preserve">Ilustríssimo Senhor Sidnei Augusto </w:t>
      </w:r>
      <w:proofErr w:type="spellStart"/>
      <w:r>
        <w:rPr>
          <w:rFonts w:ascii="Century Gothic" w:hAnsi="Century Gothic" w:cs="Arial"/>
          <w:color w:val="000000"/>
        </w:rPr>
        <w:t>Karas</w:t>
      </w:r>
      <w:proofErr w:type="spellEnd"/>
      <w:r>
        <w:rPr>
          <w:rFonts w:ascii="Century Gothic" w:hAnsi="Century Gothic" w:cs="Arial"/>
          <w:color w:val="000000"/>
        </w:rPr>
        <w:t xml:space="preserve">, controlador Interno do Município de Roncador e ao </w:t>
      </w:r>
      <w:r w:rsidRPr="00D7763B">
        <w:rPr>
          <w:rFonts w:ascii="Century Gothic" w:hAnsi="Century Gothic" w:cs="Arial"/>
          <w:color w:val="000000"/>
        </w:rPr>
        <w:t xml:space="preserve">Excelentíssimo Senhor Vivaldo Lessa Moreira, Prefeito Municipal de Roncador, Estado do Paraná, </w:t>
      </w:r>
      <w:r w:rsidR="00AC366A">
        <w:rPr>
          <w:rFonts w:ascii="Century Gothic" w:hAnsi="Century Gothic" w:cs="Arial"/>
          <w:color w:val="000000"/>
        </w:rPr>
        <w:t>a abertura de</w:t>
      </w:r>
      <w:r>
        <w:rPr>
          <w:rFonts w:ascii="Century Gothic" w:hAnsi="Century Gothic" w:cs="Arial"/>
          <w:color w:val="000000"/>
        </w:rPr>
        <w:t xml:space="preserve"> </w:t>
      </w:r>
      <w:r w:rsidR="00AC366A">
        <w:rPr>
          <w:rFonts w:ascii="Century Gothic" w:hAnsi="Century Gothic" w:cs="Arial"/>
          <w:color w:val="000000"/>
        </w:rPr>
        <w:t xml:space="preserve">processo </w:t>
      </w:r>
      <w:r>
        <w:rPr>
          <w:rFonts w:ascii="Century Gothic" w:hAnsi="Century Gothic" w:cs="Arial"/>
          <w:color w:val="000000"/>
        </w:rPr>
        <w:t xml:space="preserve">administrativo visando à revogação da </w:t>
      </w:r>
      <w:r w:rsidRPr="00D7763B">
        <w:rPr>
          <w:rFonts w:ascii="Century Gothic" w:hAnsi="Century Gothic" w:cs="Arial"/>
          <w:color w:val="000000"/>
        </w:rPr>
        <w:t xml:space="preserve">doação dos imóveis </w:t>
      </w:r>
      <w:r>
        <w:rPr>
          <w:rFonts w:ascii="Century Gothic" w:hAnsi="Century Gothic" w:cs="Arial"/>
          <w:color w:val="000000"/>
        </w:rPr>
        <w:t xml:space="preserve">das </w:t>
      </w:r>
      <w:r w:rsidR="00AC366A">
        <w:rPr>
          <w:rFonts w:ascii="Century Gothic" w:hAnsi="Century Gothic" w:cs="Arial"/>
          <w:color w:val="000000"/>
        </w:rPr>
        <w:t xml:space="preserve">Matrículas </w:t>
      </w:r>
      <w:proofErr w:type="spellStart"/>
      <w:r w:rsidR="00AC366A">
        <w:rPr>
          <w:rFonts w:ascii="Century Gothic" w:hAnsi="Century Gothic" w:cs="Arial"/>
          <w:color w:val="000000"/>
        </w:rPr>
        <w:t>nºs</w:t>
      </w:r>
      <w:proofErr w:type="spellEnd"/>
      <w:r w:rsidR="00AC366A">
        <w:rPr>
          <w:rFonts w:ascii="Century Gothic" w:hAnsi="Century Gothic" w:cs="Arial"/>
          <w:color w:val="000000"/>
        </w:rPr>
        <w:t xml:space="preserve"> </w:t>
      </w:r>
      <w:r>
        <w:rPr>
          <w:rFonts w:ascii="Century Gothic" w:hAnsi="Century Gothic" w:cs="Arial"/>
          <w:color w:val="000000"/>
        </w:rPr>
        <w:t xml:space="preserve">104 e 105, livro 02-RG, do SRI da Comarca Iretama/PR, </w:t>
      </w:r>
      <w:r w:rsidRPr="00D7763B">
        <w:rPr>
          <w:rFonts w:ascii="Century Gothic" w:hAnsi="Century Gothic" w:cs="Arial"/>
          <w:color w:val="000000"/>
        </w:rPr>
        <w:t xml:space="preserve">doados </w:t>
      </w:r>
      <w:r w:rsidR="00AC366A">
        <w:rPr>
          <w:rFonts w:ascii="Century Gothic" w:hAnsi="Century Gothic" w:cs="Arial"/>
          <w:color w:val="000000"/>
        </w:rPr>
        <w:t xml:space="preserve">pelo Município de Roncador em favor da empresa </w:t>
      </w:r>
      <w:r w:rsidRPr="00D7763B">
        <w:rPr>
          <w:rFonts w:ascii="Century Gothic" w:hAnsi="Century Gothic" w:cs="Arial"/>
          <w:color w:val="000000"/>
        </w:rPr>
        <w:t>AGRO INDUSTRIAL PARATI LTDA, mediante reversão ao patrimônio público</w:t>
      </w:r>
      <w:r w:rsidR="009F214F">
        <w:rPr>
          <w:rFonts w:ascii="Century Gothic" w:hAnsi="Century Gothic" w:cs="Arial"/>
          <w:color w:val="000000"/>
        </w:rPr>
        <w:t xml:space="preserve"> por inexecução do encargo e </w:t>
      </w:r>
      <w:r w:rsidRPr="00D7763B">
        <w:rPr>
          <w:rFonts w:ascii="Century Gothic" w:hAnsi="Century Gothic" w:cs="Arial"/>
          <w:color w:val="000000"/>
        </w:rPr>
        <w:t xml:space="preserve">descumprimento </w:t>
      </w:r>
      <w:r w:rsidR="009F214F">
        <w:rPr>
          <w:rFonts w:ascii="Century Gothic" w:hAnsi="Century Gothic" w:cs="Arial"/>
          <w:color w:val="000000"/>
        </w:rPr>
        <w:t>d</w:t>
      </w:r>
      <w:r w:rsidRPr="00D7763B">
        <w:rPr>
          <w:rFonts w:ascii="Century Gothic" w:hAnsi="Century Gothic" w:cs="Arial"/>
          <w:color w:val="000000"/>
        </w:rPr>
        <w:t>a Lei Municipal nº. 867 de 22 de agosto de 2008</w:t>
      </w:r>
      <w:r>
        <w:rPr>
          <w:rFonts w:ascii="Century Gothic" w:hAnsi="Century Gothic" w:cs="Arial"/>
          <w:color w:val="000000"/>
        </w:rPr>
        <w:t>, conforme justificativa anexa.</w:t>
      </w:r>
    </w:p>
    <w:p w14:paraId="27CEBD87" w14:textId="77777777" w:rsidR="007819AC" w:rsidRDefault="007819AC" w:rsidP="007819AC">
      <w:pPr>
        <w:spacing w:line="288" w:lineRule="auto"/>
        <w:jc w:val="center"/>
        <w:rPr>
          <w:rFonts w:ascii="Century Gothic" w:hAnsi="Century Gothic" w:cs="Arial"/>
          <w:color w:val="000000"/>
        </w:rPr>
      </w:pPr>
    </w:p>
    <w:p w14:paraId="4149A2E8" w14:textId="77777777" w:rsidR="00713750" w:rsidRPr="00D7763B" w:rsidRDefault="00713750" w:rsidP="007819AC">
      <w:pPr>
        <w:spacing w:line="288" w:lineRule="auto"/>
        <w:jc w:val="center"/>
        <w:rPr>
          <w:rFonts w:ascii="Century Gothic" w:hAnsi="Century Gothic" w:cs="Arial"/>
          <w:color w:val="000000"/>
        </w:rPr>
      </w:pPr>
      <w:r w:rsidRPr="00D7763B">
        <w:rPr>
          <w:rFonts w:ascii="Century Gothic" w:hAnsi="Century Gothic" w:cs="Arial"/>
          <w:color w:val="000000"/>
        </w:rPr>
        <w:br/>
      </w:r>
      <w:r w:rsidRPr="00D7763B">
        <w:rPr>
          <w:rFonts w:ascii="Century Gothic" w:hAnsi="Century Gothic" w:cs="Arial"/>
          <w:b/>
          <w:color w:val="000000"/>
        </w:rPr>
        <w:t>JUSTIFICATIVA</w:t>
      </w:r>
    </w:p>
    <w:p w14:paraId="40FB8755" w14:textId="77777777" w:rsidR="009F214F" w:rsidRDefault="009F214F" w:rsidP="007819AC">
      <w:pPr>
        <w:spacing w:line="288" w:lineRule="auto"/>
        <w:ind w:firstLine="1134"/>
        <w:jc w:val="both"/>
        <w:rPr>
          <w:rFonts w:ascii="Century Gothic" w:hAnsi="Century Gothic" w:cstheme="minorHAnsi"/>
          <w:color w:val="000000" w:themeColor="text1"/>
        </w:rPr>
      </w:pPr>
    </w:p>
    <w:p w14:paraId="0C8394AF" w14:textId="77777777" w:rsidR="007819AC" w:rsidRDefault="007819AC" w:rsidP="007819AC">
      <w:pPr>
        <w:spacing w:line="288" w:lineRule="auto"/>
        <w:ind w:firstLine="1134"/>
        <w:jc w:val="both"/>
        <w:rPr>
          <w:rFonts w:ascii="Century Gothic" w:hAnsi="Century Gothic" w:cstheme="minorHAnsi"/>
          <w:color w:val="000000" w:themeColor="text1"/>
        </w:rPr>
      </w:pPr>
      <w:r>
        <w:rPr>
          <w:rFonts w:ascii="Century Gothic" w:hAnsi="Century Gothic" w:cstheme="minorHAnsi"/>
          <w:color w:val="000000" w:themeColor="text1"/>
        </w:rPr>
        <w:t>O Município de Roncador/PR doou a empresa Agro industrial Parati Ltda o</w:t>
      </w:r>
      <w:r w:rsidR="00AC366A">
        <w:rPr>
          <w:rFonts w:ascii="Century Gothic" w:hAnsi="Century Gothic" w:cstheme="minorHAnsi"/>
          <w:color w:val="000000" w:themeColor="text1"/>
        </w:rPr>
        <w:t>s</w:t>
      </w:r>
      <w:r>
        <w:rPr>
          <w:rFonts w:ascii="Century Gothic" w:hAnsi="Century Gothic" w:cstheme="minorHAnsi"/>
          <w:color w:val="000000" w:themeColor="text1"/>
        </w:rPr>
        <w:t xml:space="preserve"> imóve</w:t>
      </w:r>
      <w:r w:rsidR="00AC366A">
        <w:rPr>
          <w:rFonts w:ascii="Century Gothic" w:hAnsi="Century Gothic" w:cstheme="minorHAnsi"/>
          <w:color w:val="000000" w:themeColor="text1"/>
        </w:rPr>
        <w:t>is</w:t>
      </w:r>
      <w:r>
        <w:rPr>
          <w:rFonts w:ascii="Century Gothic" w:hAnsi="Century Gothic" w:cstheme="minorHAnsi"/>
          <w:color w:val="000000" w:themeColor="text1"/>
        </w:rPr>
        <w:t xml:space="preserve"> rura</w:t>
      </w:r>
      <w:r w:rsidR="00AC366A">
        <w:rPr>
          <w:rFonts w:ascii="Century Gothic" w:hAnsi="Century Gothic" w:cstheme="minorHAnsi"/>
          <w:color w:val="000000" w:themeColor="text1"/>
        </w:rPr>
        <w:t>is</w:t>
      </w:r>
      <w:r>
        <w:rPr>
          <w:rFonts w:ascii="Century Gothic" w:hAnsi="Century Gothic" w:cstheme="minorHAnsi"/>
          <w:color w:val="000000" w:themeColor="text1"/>
        </w:rPr>
        <w:t xml:space="preserve"> constituído</w:t>
      </w:r>
      <w:r w:rsidR="00AC366A">
        <w:rPr>
          <w:rFonts w:ascii="Century Gothic" w:hAnsi="Century Gothic" w:cstheme="minorHAnsi"/>
          <w:color w:val="000000" w:themeColor="text1"/>
        </w:rPr>
        <w:t>s</w:t>
      </w:r>
      <w:r>
        <w:rPr>
          <w:rFonts w:ascii="Century Gothic" w:hAnsi="Century Gothic" w:cstheme="minorHAnsi"/>
          <w:color w:val="000000" w:themeColor="text1"/>
        </w:rPr>
        <w:t xml:space="preserve"> pelo </w:t>
      </w:r>
      <w:r w:rsidRPr="007819AC">
        <w:rPr>
          <w:rFonts w:ascii="Century Gothic" w:hAnsi="Century Gothic" w:cstheme="minorHAnsi"/>
          <w:color w:val="000000" w:themeColor="text1"/>
          <w:u w:val="single"/>
        </w:rPr>
        <w:t>Lote de Terras nº 83-R, com a área de 66.028,68m2, situado no Município de Roncador/PR,</w:t>
      </w:r>
      <w:r>
        <w:rPr>
          <w:rFonts w:ascii="Century Gothic" w:hAnsi="Century Gothic" w:cstheme="minorHAnsi"/>
          <w:color w:val="000000" w:themeColor="text1"/>
        </w:rPr>
        <w:t xml:space="preserve"> objeto da Matrícula nº 104, livro 02-RG e pelo </w:t>
      </w:r>
      <w:r w:rsidRPr="007819AC">
        <w:rPr>
          <w:rFonts w:ascii="Century Gothic" w:hAnsi="Century Gothic" w:cstheme="minorHAnsi"/>
          <w:color w:val="000000" w:themeColor="text1"/>
          <w:u w:val="single"/>
        </w:rPr>
        <w:t>Lote de Terras nº 83-R-3, com a área de 17.628,66m2, situado no Município de Roncador/PR,</w:t>
      </w:r>
      <w:r>
        <w:rPr>
          <w:rFonts w:ascii="Century Gothic" w:hAnsi="Century Gothic" w:cstheme="minorHAnsi"/>
          <w:color w:val="000000" w:themeColor="text1"/>
        </w:rPr>
        <w:t xml:space="preserve"> objeto da Matrícula nº 104, livro 02-RG, do SRI da Comarca de Iretama/PR, como medida de incentivo imobiliário, visando o desenvolvimento local.</w:t>
      </w:r>
    </w:p>
    <w:p w14:paraId="2EEBB805" w14:textId="77777777" w:rsidR="007819AC" w:rsidRDefault="007819AC" w:rsidP="007819AC">
      <w:pPr>
        <w:spacing w:line="288" w:lineRule="auto"/>
        <w:ind w:firstLine="1134"/>
        <w:jc w:val="both"/>
        <w:rPr>
          <w:rFonts w:ascii="Century Gothic" w:hAnsi="Century Gothic" w:cstheme="minorHAnsi"/>
          <w:color w:val="000000" w:themeColor="text1"/>
        </w:rPr>
      </w:pPr>
    </w:p>
    <w:p w14:paraId="23FF655F" w14:textId="77777777" w:rsidR="00AC366A" w:rsidRDefault="00AC366A" w:rsidP="007819AC">
      <w:pPr>
        <w:spacing w:line="288" w:lineRule="auto"/>
        <w:ind w:firstLine="1134"/>
        <w:jc w:val="both"/>
        <w:rPr>
          <w:rFonts w:ascii="Century Gothic" w:hAnsi="Century Gothic" w:cstheme="minorHAnsi"/>
          <w:color w:val="000000" w:themeColor="text1"/>
        </w:rPr>
      </w:pPr>
    </w:p>
    <w:p w14:paraId="17E0A0EA" w14:textId="77777777" w:rsidR="00AC366A" w:rsidRDefault="00AC366A" w:rsidP="007819AC">
      <w:pPr>
        <w:spacing w:line="288" w:lineRule="auto"/>
        <w:ind w:firstLine="1134"/>
        <w:jc w:val="both"/>
        <w:rPr>
          <w:rFonts w:ascii="Century Gothic" w:hAnsi="Century Gothic" w:cstheme="minorHAnsi"/>
          <w:color w:val="000000" w:themeColor="text1"/>
        </w:rPr>
      </w:pPr>
    </w:p>
    <w:p w14:paraId="1F89FBB7" w14:textId="77777777" w:rsidR="007819AC" w:rsidRDefault="00AC366A" w:rsidP="007819AC">
      <w:pPr>
        <w:spacing w:line="288" w:lineRule="auto"/>
        <w:ind w:firstLine="1134"/>
        <w:jc w:val="both"/>
        <w:rPr>
          <w:rFonts w:ascii="Century Gothic" w:hAnsi="Century Gothic" w:cstheme="minorHAnsi"/>
          <w:color w:val="000000" w:themeColor="text1"/>
        </w:rPr>
      </w:pPr>
      <w:r>
        <w:rPr>
          <w:rFonts w:ascii="Century Gothic" w:hAnsi="Century Gothic" w:cstheme="minorHAnsi"/>
          <w:color w:val="000000" w:themeColor="text1"/>
        </w:rPr>
        <w:t>Na</w:t>
      </w:r>
      <w:r w:rsidR="007819AC">
        <w:rPr>
          <w:rFonts w:ascii="Century Gothic" w:hAnsi="Century Gothic" w:cstheme="minorHAnsi"/>
          <w:color w:val="000000" w:themeColor="text1"/>
        </w:rPr>
        <w:t xml:space="preserve"> lei nº 867/2008 </w:t>
      </w:r>
      <w:r>
        <w:rPr>
          <w:rFonts w:ascii="Century Gothic" w:hAnsi="Century Gothic" w:cstheme="minorHAnsi"/>
          <w:color w:val="000000" w:themeColor="text1"/>
        </w:rPr>
        <w:t xml:space="preserve">que </w:t>
      </w:r>
      <w:r w:rsidR="007819AC">
        <w:rPr>
          <w:rFonts w:ascii="Century Gothic" w:hAnsi="Century Gothic" w:cstheme="minorHAnsi"/>
          <w:color w:val="000000" w:themeColor="text1"/>
        </w:rPr>
        <w:t xml:space="preserve">autorizou a doação, </w:t>
      </w:r>
      <w:r>
        <w:rPr>
          <w:rFonts w:ascii="Century Gothic" w:hAnsi="Century Gothic" w:cstheme="minorHAnsi"/>
          <w:color w:val="000000" w:themeColor="text1"/>
        </w:rPr>
        <w:t>constou</w:t>
      </w:r>
      <w:r w:rsidR="007819AC">
        <w:rPr>
          <w:rFonts w:ascii="Century Gothic" w:hAnsi="Century Gothic" w:cstheme="minorHAnsi"/>
          <w:color w:val="000000" w:themeColor="text1"/>
        </w:rPr>
        <w:t xml:space="preserve"> expressamente no art. 3º, que o imóvel seria revertido para o domínio do </w:t>
      </w:r>
      <w:r>
        <w:rPr>
          <w:rFonts w:ascii="Century Gothic" w:hAnsi="Century Gothic" w:cstheme="minorHAnsi"/>
          <w:color w:val="000000" w:themeColor="text1"/>
        </w:rPr>
        <w:t>Município</w:t>
      </w:r>
      <w:r w:rsidR="007819AC">
        <w:rPr>
          <w:rFonts w:ascii="Century Gothic" w:hAnsi="Century Gothic" w:cstheme="minorHAnsi"/>
          <w:color w:val="000000" w:themeColor="text1"/>
        </w:rPr>
        <w:t>, nos seguintes casos:</w:t>
      </w:r>
    </w:p>
    <w:p w14:paraId="0B8A52A2" w14:textId="77777777" w:rsidR="007819AC" w:rsidRPr="00AC366A" w:rsidRDefault="007819AC" w:rsidP="00534802">
      <w:pPr>
        <w:ind w:left="2268"/>
        <w:jc w:val="both"/>
        <w:rPr>
          <w:rFonts w:ascii="Century Gothic" w:hAnsi="Century Gothic" w:cstheme="minorHAnsi"/>
          <w:color w:val="000000" w:themeColor="text1"/>
          <w:sz w:val="20"/>
          <w:szCs w:val="20"/>
        </w:rPr>
      </w:pPr>
    </w:p>
    <w:p w14:paraId="5490B856" w14:textId="77777777" w:rsidR="007819AC" w:rsidRPr="00AC366A" w:rsidRDefault="007819AC" w:rsidP="00534802">
      <w:pPr>
        <w:pBdr>
          <w:left w:val="single" w:sz="4" w:space="4" w:color="auto"/>
        </w:pBdr>
        <w:ind w:left="2268"/>
        <w:jc w:val="both"/>
        <w:rPr>
          <w:rFonts w:ascii="Century Gothic" w:hAnsi="Century Gothic" w:cstheme="minorHAnsi"/>
          <w:color w:val="000000" w:themeColor="text1"/>
          <w:sz w:val="20"/>
          <w:szCs w:val="20"/>
        </w:rPr>
      </w:pPr>
      <w:r w:rsidRPr="00AC366A">
        <w:rPr>
          <w:rFonts w:ascii="Century Gothic" w:hAnsi="Century Gothic" w:cstheme="minorHAnsi"/>
          <w:color w:val="000000" w:themeColor="text1"/>
          <w:sz w:val="20"/>
          <w:szCs w:val="20"/>
        </w:rPr>
        <w:t>I - se não for observado o que dispõe o artigo anterior;</w:t>
      </w:r>
    </w:p>
    <w:p w14:paraId="4EFCB0E1" w14:textId="77777777" w:rsidR="007819AC" w:rsidRPr="00AC366A" w:rsidRDefault="007819AC" w:rsidP="00534802">
      <w:pPr>
        <w:pBdr>
          <w:left w:val="single" w:sz="4" w:space="4" w:color="auto"/>
        </w:pBdr>
        <w:ind w:left="2268"/>
        <w:jc w:val="both"/>
        <w:rPr>
          <w:rFonts w:ascii="Century Gothic" w:hAnsi="Century Gothic" w:cstheme="minorHAnsi"/>
          <w:color w:val="000000" w:themeColor="text1"/>
          <w:sz w:val="20"/>
          <w:szCs w:val="20"/>
        </w:rPr>
      </w:pPr>
    </w:p>
    <w:p w14:paraId="4F1A8852" w14:textId="77777777" w:rsidR="007819AC" w:rsidRPr="00AC366A" w:rsidRDefault="007819AC" w:rsidP="00534802">
      <w:pPr>
        <w:pBdr>
          <w:left w:val="single" w:sz="4" w:space="4" w:color="auto"/>
        </w:pBdr>
        <w:ind w:left="2268"/>
        <w:jc w:val="both"/>
        <w:rPr>
          <w:rFonts w:ascii="Century Gothic" w:hAnsi="Century Gothic" w:cstheme="minorHAnsi"/>
          <w:color w:val="000000" w:themeColor="text1"/>
          <w:sz w:val="20"/>
          <w:szCs w:val="20"/>
        </w:rPr>
      </w:pPr>
      <w:r w:rsidRPr="00AC366A">
        <w:rPr>
          <w:rFonts w:ascii="Century Gothic" w:hAnsi="Century Gothic" w:cstheme="minorHAnsi"/>
          <w:color w:val="000000" w:themeColor="text1"/>
          <w:sz w:val="20"/>
          <w:szCs w:val="20"/>
        </w:rPr>
        <w:t>II - em caso de desvio ou alteração das atividades propostas;</w:t>
      </w:r>
    </w:p>
    <w:p w14:paraId="47EC90CC" w14:textId="77777777" w:rsidR="007819AC" w:rsidRPr="00AC366A" w:rsidRDefault="007819AC" w:rsidP="00534802">
      <w:pPr>
        <w:pBdr>
          <w:left w:val="single" w:sz="4" w:space="4" w:color="auto"/>
        </w:pBdr>
        <w:ind w:left="2268"/>
        <w:jc w:val="both"/>
        <w:rPr>
          <w:rFonts w:ascii="Century Gothic" w:hAnsi="Century Gothic" w:cstheme="minorHAnsi"/>
          <w:color w:val="000000" w:themeColor="text1"/>
          <w:sz w:val="20"/>
          <w:szCs w:val="20"/>
        </w:rPr>
      </w:pPr>
    </w:p>
    <w:p w14:paraId="597BC83C" w14:textId="77777777" w:rsidR="007819AC" w:rsidRPr="00AC366A" w:rsidRDefault="007819AC" w:rsidP="00534802">
      <w:pPr>
        <w:pBdr>
          <w:left w:val="single" w:sz="4" w:space="4" w:color="auto"/>
        </w:pBdr>
        <w:ind w:left="2268"/>
        <w:jc w:val="both"/>
        <w:rPr>
          <w:rFonts w:ascii="Century Gothic" w:hAnsi="Century Gothic" w:cstheme="minorHAnsi"/>
          <w:color w:val="000000" w:themeColor="text1"/>
          <w:sz w:val="20"/>
          <w:szCs w:val="20"/>
        </w:rPr>
      </w:pPr>
      <w:r w:rsidRPr="00AC366A">
        <w:rPr>
          <w:rFonts w:ascii="Century Gothic" w:hAnsi="Century Gothic" w:cstheme="minorHAnsi"/>
          <w:color w:val="000000" w:themeColor="text1"/>
          <w:sz w:val="20"/>
          <w:szCs w:val="20"/>
        </w:rPr>
        <w:t xml:space="preserve">III </w:t>
      </w:r>
      <w:r w:rsidR="00557957" w:rsidRPr="00AC366A">
        <w:rPr>
          <w:rFonts w:ascii="Century Gothic" w:hAnsi="Century Gothic" w:cstheme="minorHAnsi"/>
          <w:color w:val="000000" w:themeColor="text1"/>
          <w:sz w:val="20"/>
          <w:szCs w:val="20"/>
        </w:rPr>
        <w:t>–</w:t>
      </w:r>
      <w:r w:rsidRPr="00AC366A">
        <w:rPr>
          <w:rFonts w:ascii="Century Gothic" w:hAnsi="Century Gothic" w:cstheme="minorHAnsi"/>
          <w:color w:val="000000" w:themeColor="text1"/>
          <w:sz w:val="20"/>
          <w:szCs w:val="20"/>
        </w:rPr>
        <w:t xml:space="preserve"> </w:t>
      </w:r>
      <w:r w:rsidR="00557957" w:rsidRPr="00AC366A">
        <w:rPr>
          <w:rFonts w:ascii="Century Gothic" w:hAnsi="Century Gothic" w:cstheme="minorHAnsi"/>
          <w:color w:val="000000" w:themeColor="text1"/>
          <w:sz w:val="20"/>
          <w:szCs w:val="20"/>
        </w:rPr>
        <w:t>se a empresa beneficiada paralisar suas atividades por um período a 90 (noventa) dias;</w:t>
      </w:r>
    </w:p>
    <w:p w14:paraId="7CBD95BD" w14:textId="77777777" w:rsidR="00557957" w:rsidRPr="00AC366A" w:rsidRDefault="00557957" w:rsidP="00534802">
      <w:pPr>
        <w:pBdr>
          <w:left w:val="single" w:sz="4" w:space="4" w:color="auto"/>
        </w:pBdr>
        <w:ind w:left="2268"/>
        <w:jc w:val="both"/>
        <w:rPr>
          <w:rFonts w:ascii="Century Gothic" w:hAnsi="Century Gothic" w:cstheme="minorHAnsi"/>
          <w:color w:val="000000" w:themeColor="text1"/>
          <w:sz w:val="20"/>
          <w:szCs w:val="20"/>
        </w:rPr>
      </w:pPr>
    </w:p>
    <w:p w14:paraId="10265BBD" w14:textId="77777777" w:rsidR="00557957" w:rsidRPr="00AC366A" w:rsidRDefault="00557957" w:rsidP="00534802">
      <w:pPr>
        <w:pBdr>
          <w:left w:val="single" w:sz="4" w:space="4" w:color="auto"/>
        </w:pBdr>
        <w:ind w:left="2268"/>
        <w:jc w:val="both"/>
        <w:rPr>
          <w:rFonts w:ascii="Century Gothic" w:hAnsi="Century Gothic" w:cstheme="minorHAnsi"/>
          <w:color w:val="000000" w:themeColor="text1"/>
          <w:sz w:val="20"/>
          <w:szCs w:val="20"/>
        </w:rPr>
      </w:pPr>
      <w:r w:rsidRPr="00AC366A">
        <w:rPr>
          <w:rFonts w:ascii="Century Gothic" w:hAnsi="Century Gothic" w:cstheme="minorHAnsi"/>
          <w:color w:val="000000" w:themeColor="text1"/>
          <w:sz w:val="20"/>
          <w:szCs w:val="20"/>
        </w:rPr>
        <w:t>IV – se a beneficiada ceder, vender ou transferir a concessão.</w:t>
      </w:r>
    </w:p>
    <w:p w14:paraId="2A9A20AD" w14:textId="77777777" w:rsidR="00557957" w:rsidRPr="00AC366A" w:rsidRDefault="00557957" w:rsidP="00534802">
      <w:pPr>
        <w:ind w:left="2268"/>
        <w:jc w:val="both"/>
        <w:rPr>
          <w:rFonts w:ascii="Century Gothic" w:hAnsi="Century Gothic" w:cstheme="minorHAnsi"/>
          <w:color w:val="000000" w:themeColor="text1"/>
          <w:sz w:val="20"/>
          <w:szCs w:val="20"/>
        </w:rPr>
      </w:pPr>
    </w:p>
    <w:p w14:paraId="75E45D78" w14:textId="77777777" w:rsidR="00557957" w:rsidRDefault="00557957" w:rsidP="007819AC">
      <w:pPr>
        <w:spacing w:line="288" w:lineRule="auto"/>
        <w:ind w:firstLine="1134"/>
        <w:jc w:val="both"/>
        <w:rPr>
          <w:rFonts w:ascii="Century Gothic" w:hAnsi="Century Gothic" w:cstheme="minorHAnsi"/>
          <w:color w:val="000000" w:themeColor="text1"/>
        </w:rPr>
      </w:pPr>
      <w:r>
        <w:rPr>
          <w:rFonts w:ascii="Century Gothic" w:hAnsi="Century Gothic" w:cstheme="minorHAnsi"/>
          <w:color w:val="000000" w:themeColor="text1"/>
        </w:rPr>
        <w:t xml:space="preserve">Trata-se de fato público e notório o descumprimento do encargo imposto na doação. </w:t>
      </w:r>
      <w:r w:rsidR="00534802">
        <w:rPr>
          <w:rFonts w:ascii="Century Gothic" w:hAnsi="Century Gothic" w:cstheme="minorHAnsi"/>
          <w:color w:val="000000" w:themeColor="text1"/>
        </w:rPr>
        <w:t>Por sua vez, e</w:t>
      </w:r>
      <w:r>
        <w:rPr>
          <w:rFonts w:ascii="Century Gothic" w:hAnsi="Century Gothic" w:cstheme="minorHAnsi"/>
          <w:color w:val="000000" w:themeColor="text1"/>
        </w:rPr>
        <w:t>stabelece o art. 555, do Código Civil que a doação pode ser revogada por inexecução do encargo</w:t>
      </w:r>
      <w:r w:rsidR="00AC366A">
        <w:rPr>
          <w:rFonts w:ascii="Century Gothic" w:hAnsi="Century Gothic" w:cstheme="minorHAnsi"/>
          <w:color w:val="000000" w:themeColor="text1"/>
        </w:rPr>
        <w:t xml:space="preserve">, a qual independe </w:t>
      </w:r>
      <w:r w:rsidR="009A69A6">
        <w:rPr>
          <w:rFonts w:ascii="Century Gothic" w:hAnsi="Century Gothic" w:cstheme="minorHAnsi"/>
          <w:color w:val="000000" w:themeColor="text1"/>
        </w:rPr>
        <w:t xml:space="preserve">de ato judicial, </w:t>
      </w:r>
      <w:r w:rsidR="00AC366A">
        <w:rPr>
          <w:rFonts w:ascii="Century Gothic" w:hAnsi="Century Gothic" w:cstheme="minorHAnsi"/>
          <w:color w:val="000000" w:themeColor="text1"/>
        </w:rPr>
        <w:t xml:space="preserve">sendo </w:t>
      </w:r>
      <w:r w:rsidR="009A69A6">
        <w:rPr>
          <w:rFonts w:ascii="Century Gothic" w:hAnsi="Century Gothic" w:cstheme="minorHAnsi"/>
          <w:color w:val="000000" w:themeColor="text1"/>
        </w:rPr>
        <w:t>permitida sua formalização por ato administrativo, desde que observado o contraditório e a ampla defesa.</w:t>
      </w:r>
    </w:p>
    <w:p w14:paraId="54E2AF84" w14:textId="77777777" w:rsidR="009A69A6" w:rsidRDefault="009A69A6" w:rsidP="007819AC">
      <w:pPr>
        <w:spacing w:line="288" w:lineRule="auto"/>
        <w:ind w:firstLine="1134"/>
        <w:jc w:val="both"/>
        <w:rPr>
          <w:rFonts w:ascii="Century Gothic" w:hAnsi="Century Gothic" w:cstheme="minorHAnsi"/>
          <w:color w:val="000000" w:themeColor="text1"/>
        </w:rPr>
      </w:pPr>
    </w:p>
    <w:p w14:paraId="17743C96" w14:textId="77777777" w:rsidR="009A69A6" w:rsidRDefault="009A69A6" w:rsidP="007819AC">
      <w:pPr>
        <w:spacing w:line="288" w:lineRule="auto"/>
        <w:ind w:firstLine="1134"/>
        <w:jc w:val="both"/>
        <w:rPr>
          <w:rFonts w:ascii="Century Gothic" w:hAnsi="Century Gothic" w:cstheme="minorHAnsi"/>
          <w:color w:val="000000" w:themeColor="text1"/>
        </w:rPr>
      </w:pPr>
      <w:r>
        <w:rPr>
          <w:rFonts w:ascii="Century Gothic" w:hAnsi="Century Gothic" w:cstheme="minorHAnsi"/>
          <w:color w:val="000000" w:themeColor="text1"/>
        </w:rPr>
        <w:t>O Tribunal de Justiça do Estado de Minas Gerais enfrentando caso semelhante acerca revogação da doação por inexecução do encargo, decidiu pela legalidade</w:t>
      </w:r>
      <w:r w:rsidR="00534802">
        <w:rPr>
          <w:rFonts w:ascii="Century Gothic" w:hAnsi="Century Gothic" w:cstheme="minorHAnsi"/>
          <w:color w:val="000000" w:themeColor="text1"/>
        </w:rPr>
        <w:t xml:space="preserve"> da revogação administrativa</w:t>
      </w:r>
      <w:r>
        <w:rPr>
          <w:rFonts w:ascii="Century Gothic" w:hAnsi="Century Gothic" w:cstheme="minorHAnsi"/>
          <w:color w:val="000000" w:themeColor="text1"/>
        </w:rPr>
        <w:t>, desde que observado o contraditório e a ampla defesa, conforme julgado a seguir:</w:t>
      </w:r>
    </w:p>
    <w:p w14:paraId="614513F7" w14:textId="77777777" w:rsidR="009A69A6" w:rsidRPr="009A69A6" w:rsidRDefault="009A69A6" w:rsidP="007819AC">
      <w:pPr>
        <w:spacing w:line="288" w:lineRule="auto"/>
        <w:ind w:firstLine="1134"/>
        <w:jc w:val="both"/>
        <w:rPr>
          <w:rFonts w:ascii="Century Gothic" w:hAnsi="Century Gothic" w:cstheme="minorHAnsi"/>
          <w:color w:val="000000" w:themeColor="text1"/>
          <w:sz w:val="20"/>
          <w:szCs w:val="20"/>
        </w:rPr>
      </w:pPr>
    </w:p>
    <w:p w14:paraId="321BE3E4" w14:textId="77777777" w:rsidR="009A69A6" w:rsidRPr="009A69A6" w:rsidRDefault="009A69A6" w:rsidP="00534802">
      <w:pPr>
        <w:pBdr>
          <w:left w:val="single" w:sz="4" w:space="4" w:color="auto"/>
        </w:pBdr>
        <w:ind w:left="2268"/>
        <w:jc w:val="both"/>
        <w:rPr>
          <w:rFonts w:ascii="Century Gothic" w:hAnsi="Century Gothic" w:cstheme="minorHAnsi"/>
          <w:color w:val="000000" w:themeColor="text1"/>
          <w:sz w:val="20"/>
          <w:szCs w:val="20"/>
        </w:rPr>
      </w:pPr>
      <w:r w:rsidRPr="009A69A6">
        <w:rPr>
          <w:rFonts w:ascii="Century Gothic" w:hAnsi="Century Gothic" w:cstheme="minorHAnsi"/>
          <w:color w:val="000000" w:themeColor="text1"/>
          <w:sz w:val="20"/>
          <w:szCs w:val="20"/>
        </w:rPr>
        <w:t xml:space="preserve">AÇÃO DECLARATÓRIA DE NULIDADE. DOAÇÃO DE IMÓVEL PÚBLICO COM ENCARGO. REVERSÃO AUTOMÁTICA. AUSÊNCIA DE CONTRADITÓRIO E AMPLA DEFESA. IMPOSSIBILIDADE. ATO DECLARADO NULO. SENTENÇA CONFIRMADA. </w:t>
      </w:r>
      <w:r w:rsidRPr="009A69A6">
        <w:rPr>
          <w:rFonts w:ascii="Century Gothic" w:hAnsi="Century Gothic" w:cstheme="minorHAnsi"/>
          <w:b/>
          <w:color w:val="000000" w:themeColor="text1"/>
          <w:sz w:val="20"/>
          <w:szCs w:val="20"/>
          <w:u w:val="single"/>
        </w:rPr>
        <w:t>Tratando-se de doação de imóvel público, a inexecução do encargo imposto ao donatário deve ser devidamente comprovada mediante a instauração de processo administrativo ou judicial, quando serão garantidos o contraditório e a ampla defesa, sendo nula a reversão automática do bem.</w:t>
      </w:r>
      <w:r w:rsidRPr="009A69A6">
        <w:rPr>
          <w:rFonts w:ascii="Century Gothic" w:hAnsi="Century Gothic" w:cstheme="minorHAnsi"/>
          <w:color w:val="000000" w:themeColor="text1"/>
          <w:sz w:val="20"/>
          <w:szCs w:val="20"/>
        </w:rPr>
        <w:t xml:space="preserve"> APELAÇÃO CÍVEL/REEXAME NECESSÁRIO Nº 1.0210.12.002863-9/001 - Comarca de Pedro Leopoldo - Remetente: Juiz de Direito da 1ª Vara Cível, Criminal e da Infância e Juventude da Comarca de Pedro Leopoldo - Apelante: Município de Pedro Leopoldo - Apelada: </w:t>
      </w:r>
      <w:proofErr w:type="spellStart"/>
      <w:r w:rsidRPr="009A69A6">
        <w:rPr>
          <w:rFonts w:ascii="Century Gothic" w:hAnsi="Century Gothic" w:cstheme="minorHAnsi"/>
          <w:color w:val="000000" w:themeColor="text1"/>
          <w:sz w:val="20"/>
          <w:szCs w:val="20"/>
        </w:rPr>
        <w:t>Predil</w:t>
      </w:r>
      <w:proofErr w:type="spellEnd"/>
      <w:r w:rsidRPr="009A69A6">
        <w:rPr>
          <w:rFonts w:ascii="Century Gothic" w:hAnsi="Century Gothic" w:cstheme="minorHAnsi"/>
          <w:color w:val="000000" w:themeColor="text1"/>
          <w:sz w:val="20"/>
          <w:szCs w:val="20"/>
        </w:rPr>
        <w:t xml:space="preserve"> </w:t>
      </w:r>
      <w:proofErr w:type="spellStart"/>
      <w:r w:rsidRPr="009A69A6">
        <w:rPr>
          <w:rFonts w:ascii="Century Gothic" w:hAnsi="Century Gothic" w:cstheme="minorHAnsi"/>
          <w:color w:val="000000" w:themeColor="text1"/>
          <w:sz w:val="20"/>
          <w:szCs w:val="20"/>
        </w:rPr>
        <w:t>Premoldados</w:t>
      </w:r>
      <w:proofErr w:type="spellEnd"/>
      <w:r w:rsidRPr="009A69A6">
        <w:rPr>
          <w:rFonts w:ascii="Century Gothic" w:hAnsi="Century Gothic" w:cstheme="minorHAnsi"/>
          <w:color w:val="000000" w:themeColor="text1"/>
          <w:sz w:val="20"/>
          <w:szCs w:val="20"/>
        </w:rPr>
        <w:t xml:space="preserve"> Diniz Ltda. - Relator: DES. DUARTE DE PAULA - 4ª Câmara Cível do Tribunal de Jus</w:t>
      </w:r>
      <w:r>
        <w:rPr>
          <w:rFonts w:ascii="Century Gothic" w:hAnsi="Century Gothic" w:cstheme="minorHAnsi"/>
          <w:color w:val="000000" w:themeColor="text1"/>
          <w:sz w:val="20"/>
          <w:szCs w:val="20"/>
        </w:rPr>
        <w:t>tiça do Estado de Minas Gerais.</w:t>
      </w:r>
    </w:p>
    <w:p w14:paraId="730270A6" w14:textId="77777777" w:rsidR="007819AC" w:rsidRPr="009A69A6" w:rsidRDefault="007819AC" w:rsidP="007819AC">
      <w:pPr>
        <w:spacing w:line="288" w:lineRule="auto"/>
        <w:ind w:firstLine="1134"/>
        <w:jc w:val="both"/>
        <w:rPr>
          <w:rFonts w:ascii="Century Gothic" w:hAnsi="Century Gothic" w:cstheme="minorHAnsi"/>
          <w:color w:val="000000" w:themeColor="text1"/>
          <w:sz w:val="20"/>
          <w:szCs w:val="20"/>
        </w:rPr>
      </w:pPr>
    </w:p>
    <w:p w14:paraId="3FA893CE" w14:textId="77777777" w:rsidR="007819AC" w:rsidRDefault="009A69A6" w:rsidP="007819AC">
      <w:pPr>
        <w:spacing w:line="288" w:lineRule="auto"/>
        <w:ind w:firstLine="1134"/>
        <w:jc w:val="both"/>
        <w:rPr>
          <w:rFonts w:ascii="Century Gothic" w:hAnsi="Century Gothic" w:cstheme="minorHAnsi"/>
          <w:color w:val="000000" w:themeColor="text1"/>
        </w:rPr>
      </w:pPr>
      <w:r>
        <w:rPr>
          <w:rFonts w:ascii="Century Gothic" w:hAnsi="Century Gothic" w:cstheme="minorHAnsi"/>
          <w:color w:val="000000" w:themeColor="text1"/>
        </w:rPr>
        <w:t xml:space="preserve">Ademais, importante ressaltar que além da inexecução do encargo imposto na doação, que a doação autorizada através da Lei Municipal nº </w:t>
      </w:r>
      <w:r>
        <w:rPr>
          <w:rFonts w:ascii="Century Gothic" w:hAnsi="Century Gothic" w:cstheme="minorHAnsi"/>
          <w:color w:val="000000" w:themeColor="text1"/>
        </w:rPr>
        <w:lastRenderedPageBreak/>
        <w:t xml:space="preserve">867/2008, arrimada nas Leis Municipais </w:t>
      </w:r>
      <w:proofErr w:type="spellStart"/>
      <w:r>
        <w:rPr>
          <w:rFonts w:ascii="Century Gothic" w:hAnsi="Century Gothic" w:cstheme="minorHAnsi"/>
          <w:color w:val="000000" w:themeColor="text1"/>
        </w:rPr>
        <w:t>nºs</w:t>
      </w:r>
      <w:proofErr w:type="spellEnd"/>
      <w:r>
        <w:rPr>
          <w:rFonts w:ascii="Century Gothic" w:hAnsi="Century Gothic" w:cstheme="minorHAnsi"/>
          <w:color w:val="000000" w:themeColor="text1"/>
        </w:rPr>
        <w:t xml:space="preserve"> 798/2005 e 848/2007, extrapolou o incentivo imobiliário previsto art. 4º, I, da Lei 798/2005, que permitia o incentivo imobiliário mediante Concessão do Direito Real de Uso, e não por doação, conforme realizado.</w:t>
      </w:r>
    </w:p>
    <w:p w14:paraId="413B1749" w14:textId="77777777" w:rsidR="007819AC" w:rsidRDefault="007819AC" w:rsidP="007819AC">
      <w:pPr>
        <w:spacing w:line="288" w:lineRule="auto"/>
        <w:ind w:firstLine="1134"/>
        <w:jc w:val="both"/>
        <w:rPr>
          <w:rFonts w:ascii="Century Gothic" w:hAnsi="Century Gothic" w:cstheme="minorHAnsi"/>
          <w:color w:val="000000" w:themeColor="text1"/>
        </w:rPr>
      </w:pPr>
    </w:p>
    <w:p w14:paraId="12F91002" w14:textId="77777777" w:rsidR="00713750" w:rsidRPr="00D7763B" w:rsidRDefault="009A69A6" w:rsidP="007819AC">
      <w:pPr>
        <w:pBdr>
          <w:top w:val="nil"/>
          <w:left w:val="nil"/>
          <w:bottom w:val="nil"/>
          <w:right w:val="nil"/>
          <w:between w:val="nil"/>
        </w:pBdr>
        <w:spacing w:line="288" w:lineRule="auto"/>
        <w:ind w:firstLine="2268"/>
        <w:jc w:val="both"/>
        <w:rPr>
          <w:rFonts w:ascii="Century Gothic" w:hAnsi="Century Gothic" w:cs="Arial"/>
          <w:color w:val="000000"/>
        </w:rPr>
      </w:pPr>
      <w:r>
        <w:rPr>
          <w:rFonts w:ascii="Century Gothic" w:hAnsi="Century Gothic" w:cs="Arial"/>
          <w:color w:val="000000"/>
        </w:rPr>
        <w:t xml:space="preserve">Desta forma, o Vereador Jenauro Hruba </w:t>
      </w:r>
      <w:r w:rsidR="00713750" w:rsidRPr="00D7763B">
        <w:rPr>
          <w:rFonts w:ascii="Century Gothic" w:hAnsi="Century Gothic" w:cs="Arial"/>
          <w:color w:val="000000"/>
        </w:rPr>
        <w:t>propõe a presente indicação, a fim de que o</w:t>
      </w:r>
      <w:r>
        <w:rPr>
          <w:rFonts w:ascii="Century Gothic" w:hAnsi="Century Gothic" w:cs="Arial"/>
          <w:color w:val="000000"/>
        </w:rPr>
        <w:t xml:space="preserve"> Controlador Interno e o</w:t>
      </w:r>
      <w:r w:rsidR="00713750" w:rsidRPr="00D7763B">
        <w:rPr>
          <w:rFonts w:ascii="Century Gothic" w:hAnsi="Century Gothic" w:cs="Arial"/>
          <w:color w:val="000000"/>
        </w:rPr>
        <w:t xml:space="preserve"> Prefeito Municipal </w:t>
      </w:r>
      <w:r w:rsidR="00AC366A">
        <w:rPr>
          <w:rFonts w:ascii="Century Gothic" w:hAnsi="Century Gothic" w:cs="Arial"/>
          <w:color w:val="000000"/>
        </w:rPr>
        <w:t xml:space="preserve">instaurem procedimento administrativo, assegurando a donatária o direito ao contraditório e a ampla defesa, visando revogar a doação </w:t>
      </w:r>
      <w:r w:rsidR="00AC366A" w:rsidRPr="00D7763B">
        <w:rPr>
          <w:rFonts w:ascii="Century Gothic" w:hAnsi="Century Gothic" w:cs="Arial"/>
          <w:color w:val="000000"/>
        </w:rPr>
        <w:t xml:space="preserve">dos imóveis </w:t>
      </w:r>
      <w:r w:rsidR="00AC366A">
        <w:rPr>
          <w:rFonts w:ascii="Century Gothic" w:hAnsi="Century Gothic" w:cs="Arial"/>
          <w:color w:val="000000"/>
        </w:rPr>
        <w:t>das matrículas</w:t>
      </w:r>
      <w:r w:rsidR="005C60DB">
        <w:rPr>
          <w:rFonts w:ascii="Century Gothic" w:hAnsi="Century Gothic" w:cs="Arial"/>
          <w:color w:val="000000"/>
        </w:rPr>
        <w:t xml:space="preserve"> </w:t>
      </w:r>
      <w:proofErr w:type="spellStart"/>
      <w:r w:rsidR="005C60DB">
        <w:rPr>
          <w:rFonts w:ascii="Century Gothic" w:hAnsi="Century Gothic" w:cs="Arial"/>
          <w:color w:val="000000"/>
        </w:rPr>
        <w:t>nºs</w:t>
      </w:r>
      <w:proofErr w:type="spellEnd"/>
      <w:r w:rsidR="00AC366A">
        <w:rPr>
          <w:rFonts w:ascii="Century Gothic" w:hAnsi="Century Gothic" w:cs="Arial"/>
          <w:color w:val="000000"/>
        </w:rPr>
        <w:t xml:space="preserve"> 104 e 105, livro 02-RG, do SRI da Comarca Iretama/PR, com reversão </w:t>
      </w:r>
      <w:r w:rsidR="005C60DB">
        <w:rPr>
          <w:rFonts w:ascii="Century Gothic" w:hAnsi="Century Gothic" w:cs="Arial"/>
          <w:color w:val="000000"/>
        </w:rPr>
        <w:t xml:space="preserve">do bem </w:t>
      </w:r>
      <w:r w:rsidR="00AC366A">
        <w:rPr>
          <w:rFonts w:ascii="Century Gothic" w:hAnsi="Century Gothic" w:cs="Arial"/>
          <w:color w:val="000000"/>
        </w:rPr>
        <w:t>ao patrimônio público, por inexecução do encargo e nulidade da doação por excesso ao incentivo imobiliário assegurado em lei.</w:t>
      </w:r>
    </w:p>
    <w:p w14:paraId="77E7D0F3" w14:textId="77777777" w:rsidR="00713750" w:rsidRPr="00D7763B" w:rsidRDefault="00713750" w:rsidP="007819AC">
      <w:pPr>
        <w:spacing w:line="288" w:lineRule="auto"/>
        <w:jc w:val="both"/>
        <w:rPr>
          <w:rFonts w:ascii="Century Gothic" w:hAnsi="Century Gothic" w:cs="Arial"/>
          <w:color w:val="000000"/>
        </w:rPr>
      </w:pPr>
    </w:p>
    <w:p w14:paraId="1347EB46" w14:textId="77777777" w:rsidR="00713750" w:rsidRPr="00D7763B" w:rsidRDefault="00713750" w:rsidP="007819AC">
      <w:pPr>
        <w:spacing w:line="288" w:lineRule="auto"/>
        <w:jc w:val="center"/>
        <w:rPr>
          <w:rFonts w:ascii="Century Gothic" w:hAnsi="Century Gothic" w:cs="Arial"/>
          <w:color w:val="000000"/>
        </w:rPr>
      </w:pPr>
      <w:r w:rsidRPr="00D7763B">
        <w:rPr>
          <w:rFonts w:ascii="Century Gothic" w:hAnsi="Century Gothic" w:cs="Arial"/>
          <w:color w:val="000000"/>
        </w:rPr>
        <w:t xml:space="preserve">Roncador, </w:t>
      </w:r>
      <w:r w:rsidR="00AC366A">
        <w:rPr>
          <w:rFonts w:ascii="Century Gothic" w:hAnsi="Century Gothic" w:cs="Arial"/>
          <w:color w:val="000000"/>
        </w:rPr>
        <w:t>4</w:t>
      </w:r>
      <w:r w:rsidRPr="00D7763B">
        <w:rPr>
          <w:rFonts w:ascii="Century Gothic" w:hAnsi="Century Gothic" w:cs="Arial"/>
          <w:color w:val="000000"/>
        </w:rPr>
        <w:t xml:space="preserve"> de julho de 2023.</w:t>
      </w:r>
    </w:p>
    <w:p w14:paraId="49198C9C" w14:textId="77777777" w:rsidR="00713750" w:rsidRPr="00D7763B" w:rsidRDefault="00713750" w:rsidP="007819AC">
      <w:pPr>
        <w:spacing w:line="288" w:lineRule="auto"/>
        <w:jc w:val="center"/>
        <w:rPr>
          <w:rFonts w:ascii="Century Gothic" w:hAnsi="Century Gothic" w:cs="Arial"/>
          <w:color w:val="000000"/>
        </w:rPr>
      </w:pPr>
    </w:p>
    <w:p w14:paraId="74340EA4" w14:textId="77777777" w:rsidR="00713750" w:rsidRPr="00D7763B" w:rsidRDefault="00713750" w:rsidP="007819AC">
      <w:pPr>
        <w:spacing w:line="288" w:lineRule="auto"/>
        <w:jc w:val="center"/>
        <w:rPr>
          <w:rFonts w:ascii="Century Gothic" w:hAnsi="Century Gothic" w:cs="Arial"/>
          <w:color w:val="000000"/>
        </w:rPr>
      </w:pPr>
    </w:p>
    <w:p w14:paraId="0C229ED8" w14:textId="77777777" w:rsidR="00713750" w:rsidRPr="00D7763B" w:rsidRDefault="00713750" w:rsidP="00AC366A">
      <w:pPr>
        <w:spacing w:line="288" w:lineRule="auto"/>
        <w:jc w:val="center"/>
        <w:rPr>
          <w:rFonts w:ascii="Century Gothic" w:hAnsi="Century Gothic" w:cs="Arial"/>
          <w:color w:val="000000"/>
        </w:rPr>
      </w:pPr>
      <w:r w:rsidRPr="00D7763B">
        <w:rPr>
          <w:rFonts w:ascii="Century Gothic" w:hAnsi="Century Gothic" w:cs="Arial"/>
          <w:color w:val="000000"/>
        </w:rPr>
        <w:t>_________________</w:t>
      </w:r>
      <w:r w:rsidR="00AC366A">
        <w:rPr>
          <w:rFonts w:ascii="Century Gothic" w:hAnsi="Century Gothic" w:cs="Arial"/>
          <w:color w:val="000000"/>
        </w:rPr>
        <w:t>_____</w:t>
      </w:r>
      <w:r w:rsidRPr="00D7763B">
        <w:rPr>
          <w:rFonts w:ascii="Century Gothic" w:hAnsi="Century Gothic" w:cs="Arial"/>
          <w:color w:val="000000"/>
        </w:rPr>
        <w:t>___________________</w:t>
      </w:r>
    </w:p>
    <w:p w14:paraId="27348249" w14:textId="77777777" w:rsidR="00AC366A" w:rsidRDefault="00713750" w:rsidP="00AC366A">
      <w:pPr>
        <w:spacing w:line="288" w:lineRule="auto"/>
        <w:jc w:val="center"/>
        <w:rPr>
          <w:rFonts w:ascii="Century Gothic" w:hAnsi="Century Gothic" w:cs="Arial"/>
        </w:rPr>
      </w:pPr>
      <w:r w:rsidRPr="00D7763B">
        <w:rPr>
          <w:rFonts w:ascii="Century Gothic" w:hAnsi="Century Gothic" w:cs="Arial"/>
          <w:b/>
        </w:rPr>
        <w:t>JENAURO HRUBA</w:t>
      </w:r>
    </w:p>
    <w:p w14:paraId="2476FEBE" w14:textId="77777777" w:rsidR="00713750" w:rsidRPr="00D7763B" w:rsidRDefault="00713750" w:rsidP="00AC366A">
      <w:pPr>
        <w:spacing w:line="288" w:lineRule="auto"/>
        <w:jc w:val="center"/>
        <w:rPr>
          <w:rFonts w:ascii="Century Gothic" w:hAnsi="Century Gothic" w:cs="Arial"/>
        </w:rPr>
      </w:pPr>
      <w:r w:rsidRPr="00D7763B">
        <w:rPr>
          <w:rFonts w:ascii="Century Gothic" w:hAnsi="Century Gothic" w:cs="Arial"/>
        </w:rPr>
        <w:t>Vereador</w:t>
      </w:r>
    </w:p>
    <w:p w14:paraId="041778CC" w14:textId="77777777" w:rsidR="00713750" w:rsidRPr="00D7763B" w:rsidRDefault="00713750" w:rsidP="00AC366A">
      <w:pPr>
        <w:spacing w:line="288" w:lineRule="auto"/>
        <w:jc w:val="center"/>
        <w:rPr>
          <w:rFonts w:ascii="Century Gothic" w:hAnsi="Century Gothic"/>
        </w:rPr>
      </w:pPr>
    </w:p>
    <w:p w14:paraId="1381DF50" w14:textId="77777777" w:rsidR="00713750" w:rsidRPr="00D7763B" w:rsidRDefault="00713750" w:rsidP="007819AC">
      <w:pPr>
        <w:spacing w:line="288" w:lineRule="auto"/>
        <w:rPr>
          <w:rFonts w:ascii="Century Gothic" w:hAnsi="Century Gothic"/>
        </w:rPr>
      </w:pPr>
    </w:p>
    <w:p w14:paraId="7860B230" w14:textId="77777777" w:rsidR="00AC366A" w:rsidRPr="00D7763B" w:rsidRDefault="00AC366A">
      <w:pPr>
        <w:spacing w:line="288" w:lineRule="auto"/>
        <w:rPr>
          <w:rFonts w:ascii="Century Gothic" w:hAnsi="Century Gothic"/>
        </w:rPr>
      </w:pPr>
    </w:p>
    <w:sectPr w:rsidR="00AC366A" w:rsidRPr="00D7763B" w:rsidSect="00F61675">
      <w:headerReference w:type="default" r:id="rId6"/>
      <w:pgSz w:w="12240" w:h="15840"/>
      <w:pgMar w:top="1824" w:right="900" w:bottom="1417" w:left="1701" w:header="85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56CF85" w14:textId="77777777" w:rsidR="004B7FE1" w:rsidRDefault="004B7FE1" w:rsidP="00713750">
      <w:r>
        <w:separator/>
      </w:r>
    </w:p>
  </w:endnote>
  <w:endnote w:type="continuationSeparator" w:id="0">
    <w:p w14:paraId="17759EE0" w14:textId="77777777" w:rsidR="004B7FE1" w:rsidRDefault="004B7FE1" w:rsidP="007137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A0C922" w14:textId="77777777" w:rsidR="004B7FE1" w:rsidRDefault="004B7FE1" w:rsidP="00713750">
      <w:r>
        <w:separator/>
      </w:r>
    </w:p>
  </w:footnote>
  <w:footnote w:type="continuationSeparator" w:id="0">
    <w:p w14:paraId="73B4E9A5" w14:textId="77777777" w:rsidR="004B7FE1" w:rsidRDefault="004B7FE1" w:rsidP="00713750">
      <w:r>
        <w:continuationSeparator/>
      </w:r>
    </w:p>
  </w:footnote>
  <w:footnote w:id="1">
    <w:p w14:paraId="3BAB923B" w14:textId="77777777" w:rsidR="00D7763B" w:rsidRPr="00A55752" w:rsidRDefault="00D7763B" w:rsidP="00D7763B">
      <w:pPr>
        <w:jc w:val="both"/>
        <w:rPr>
          <w:rFonts w:ascii="Arial" w:hAnsi="Arial" w:cs="Arial"/>
          <w:color w:val="000000"/>
          <w:sz w:val="16"/>
          <w:szCs w:val="16"/>
        </w:rPr>
      </w:pPr>
      <w:r w:rsidRPr="00A55752">
        <w:rPr>
          <w:rStyle w:val="Refdenotaderodap"/>
          <w:rFonts w:ascii="Arial" w:hAnsi="Arial" w:cs="Arial"/>
          <w:sz w:val="16"/>
          <w:szCs w:val="16"/>
        </w:rPr>
        <w:footnoteRef/>
      </w:r>
      <w:r w:rsidRPr="00A55752">
        <w:rPr>
          <w:rFonts w:ascii="Arial" w:hAnsi="Arial" w:cs="Arial"/>
          <w:sz w:val="16"/>
          <w:szCs w:val="16"/>
        </w:rPr>
        <w:t xml:space="preserve"> </w:t>
      </w:r>
      <w:r w:rsidRPr="00A55752">
        <w:rPr>
          <w:rFonts w:ascii="Arial" w:hAnsi="Arial" w:cs="Arial"/>
          <w:color w:val="000000"/>
          <w:sz w:val="16"/>
          <w:szCs w:val="16"/>
        </w:rPr>
        <w:t>Art. 130. Indicação é proposição em que são solicitadas medidas de interesse público, cuja iniciativa legislativa ou execução administrativa seja competência do Poder Executivo.</w:t>
      </w:r>
    </w:p>
    <w:p w14:paraId="4015BC52" w14:textId="77777777" w:rsidR="00D7763B" w:rsidRPr="00A55752" w:rsidRDefault="00D7763B" w:rsidP="00D7763B">
      <w:pPr>
        <w:jc w:val="both"/>
        <w:rPr>
          <w:rFonts w:ascii="Arial" w:hAnsi="Arial" w:cs="Arial"/>
          <w:color w:val="000000"/>
          <w:sz w:val="16"/>
          <w:szCs w:val="16"/>
        </w:rPr>
      </w:pPr>
      <w:r w:rsidRPr="00A55752">
        <w:rPr>
          <w:rFonts w:ascii="Arial" w:hAnsi="Arial" w:cs="Arial"/>
          <w:color w:val="000000"/>
          <w:sz w:val="16"/>
          <w:szCs w:val="16"/>
        </w:rPr>
        <w:t>§ 1° As indicações dividem-se em duas categorias:</w:t>
      </w:r>
    </w:p>
    <w:p w14:paraId="1CE67C4B" w14:textId="77777777" w:rsidR="00D7763B" w:rsidRPr="00A55752" w:rsidRDefault="00D7763B" w:rsidP="00D7763B">
      <w:pPr>
        <w:jc w:val="both"/>
        <w:rPr>
          <w:rFonts w:ascii="Arial" w:hAnsi="Arial" w:cs="Arial"/>
          <w:color w:val="000000"/>
          <w:sz w:val="16"/>
          <w:szCs w:val="16"/>
        </w:rPr>
      </w:pPr>
      <w:r w:rsidRPr="00A55752">
        <w:rPr>
          <w:rFonts w:ascii="Arial" w:hAnsi="Arial" w:cs="Arial"/>
          <w:color w:val="000000"/>
          <w:sz w:val="16"/>
          <w:szCs w:val="16"/>
        </w:rPr>
        <w:t xml:space="preserve"> I - simples, quando se destinam a obter do Poder Executivo medidas de interesse público que não constituem matéria de projeto de lei;</w:t>
      </w:r>
    </w:p>
    <w:p w14:paraId="513B0F4E" w14:textId="77777777" w:rsidR="00D7763B" w:rsidRPr="00A55752" w:rsidRDefault="00D7763B" w:rsidP="00D7763B">
      <w:pPr>
        <w:jc w:val="both"/>
        <w:rPr>
          <w:rFonts w:ascii="Arial" w:hAnsi="Arial" w:cs="Arial"/>
          <w:color w:val="000000"/>
          <w:sz w:val="16"/>
          <w:szCs w:val="16"/>
        </w:rPr>
      </w:pPr>
      <w:r w:rsidRPr="00A55752">
        <w:rPr>
          <w:rFonts w:ascii="Arial" w:hAnsi="Arial" w:cs="Arial"/>
          <w:color w:val="000000"/>
          <w:sz w:val="16"/>
          <w:szCs w:val="16"/>
        </w:rPr>
        <w:t>II - legislativas, quando se destinam a obter do Poder Executivo o envio de Mensagem à Câmara por força de competência atribuída pela Lei Orgânica do Município.</w:t>
      </w:r>
    </w:p>
    <w:p w14:paraId="61C6F6CE" w14:textId="77777777" w:rsidR="00D7763B" w:rsidRPr="00A55752" w:rsidRDefault="00D7763B" w:rsidP="00D7763B">
      <w:pPr>
        <w:jc w:val="both"/>
        <w:rPr>
          <w:rFonts w:ascii="Arial" w:hAnsi="Arial" w:cs="Arial"/>
          <w:color w:val="000000"/>
          <w:sz w:val="16"/>
          <w:szCs w:val="16"/>
        </w:rPr>
      </w:pPr>
      <w:r w:rsidRPr="00A55752">
        <w:rPr>
          <w:rFonts w:ascii="Arial" w:hAnsi="Arial" w:cs="Arial"/>
          <w:color w:val="000000"/>
          <w:sz w:val="16"/>
          <w:szCs w:val="16"/>
        </w:rPr>
        <w:t>§ 2° As indicações relativas à realização de obras e à execução de serviços públicos somente poderão ser apresentadas quando tratarem de metas incluídas no plano plurianual ou na lei de diretrizes orçamentárias.</w:t>
      </w:r>
    </w:p>
    <w:p w14:paraId="28F72404" w14:textId="77777777" w:rsidR="00D7763B" w:rsidRPr="00A55752" w:rsidRDefault="00D7763B" w:rsidP="00D7763B">
      <w:pPr>
        <w:jc w:val="both"/>
        <w:rPr>
          <w:rFonts w:ascii="Century Gothic" w:hAnsi="Century Gothic"/>
          <w:sz w:val="16"/>
          <w:szCs w:val="16"/>
        </w:rPr>
      </w:pPr>
      <w:r w:rsidRPr="00A55752">
        <w:rPr>
          <w:rFonts w:ascii="Arial" w:hAnsi="Arial" w:cs="Arial"/>
          <w:color w:val="000000"/>
          <w:sz w:val="16"/>
          <w:szCs w:val="16"/>
        </w:rPr>
        <w:t>§ 3° Não é permitido dar a forma de indicação a assuntos regimentalmente reservados para constituir objeto de requerimento.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6B612" w14:textId="77777777" w:rsidR="00D7763B" w:rsidRPr="00B70FF7" w:rsidRDefault="00D7763B" w:rsidP="00D7763B">
    <w:pPr>
      <w:pStyle w:val="Subttulo"/>
      <w:rPr>
        <w:rFonts w:ascii="Arial" w:hAnsi="Arial" w:cs="Arial"/>
        <w:b w:val="0"/>
        <w:bCs/>
        <w:color w:val="666699"/>
        <w:sz w:val="48"/>
        <w:u w:val="single"/>
      </w:rPr>
    </w:pPr>
    <w:r>
      <w:rPr>
        <w:rFonts w:ascii="Arial" w:hAnsi="Arial" w:cs="Arial"/>
        <w:noProof/>
        <w:sz w:val="36"/>
      </w:rPr>
      <w:drawing>
        <wp:anchor distT="0" distB="0" distL="114300" distR="114300" simplePos="0" relativeHeight="251659264" behindDoc="1" locked="0" layoutInCell="1" allowOverlap="1" wp14:anchorId="3B5774AF" wp14:editId="2524419B">
          <wp:simplePos x="0" y="0"/>
          <wp:positionH relativeFrom="column">
            <wp:posOffset>-159385</wp:posOffset>
          </wp:positionH>
          <wp:positionV relativeFrom="paragraph">
            <wp:posOffset>-26035</wp:posOffset>
          </wp:positionV>
          <wp:extent cx="541655" cy="676275"/>
          <wp:effectExtent l="19050" t="0" r="0" b="0"/>
          <wp:wrapNone/>
          <wp:docPr id="6" name="Imagem 6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655" cy="676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B70FF7">
      <w:rPr>
        <w:rFonts w:ascii="Arial" w:hAnsi="Arial" w:cs="Arial"/>
        <w:b w:val="0"/>
        <w:bCs/>
        <w:color w:val="666699"/>
        <w:sz w:val="48"/>
      </w:rPr>
      <w:t xml:space="preserve"> </w:t>
    </w:r>
    <w:r>
      <w:rPr>
        <w:rFonts w:ascii="Arial" w:hAnsi="Arial" w:cs="Arial"/>
        <w:b w:val="0"/>
        <w:bCs/>
        <w:color w:val="666699"/>
        <w:sz w:val="48"/>
      </w:rPr>
      <w:t xml:space="preserve">    </w:t>
    </w:r>
    <w:r w:rsidRPr="00AA6577">
      <w:rPr>
        <w:rFonts w:ascii="Arial" w:hAnsi="Arial" w:cs="Arial"/>
        <w:b w:val="0"/>
        <w:bCs/>
        <w:color w:val="666699"/>
        <w:sz w:val="44"/>
        <w:u w:val="single"/>
      </w:rPr>
      <w:t>C</w:t>
    </w:r>
    <w:r>
      <w:rPr>
        <w:rFonts w:ascii="Arial" w:hAnsi="Arial" w:cs="Arial"/>
        <w:b w:val="0"/>
        <w:bCs/>
        <w:color w:val="666699"/>
        <w:sz w:val="44"/>
        <w:u w:val="single"/>
      </w:rPr>
      <w:t>Â</w:t>
    </w:r>
    <w:r w:rsidRPr="00AA6577">
      <w:rPr>
        <w:rFonts w:ascii="Arial" w:hAnsi="Arial" w:cs="Arial"/>
        <w:b w:val="0"/>
        <w:bCs/>
        <w:color w:val="666699"/>
        <w:sz w:val="44"/>
        <w:u w:val="single"/>
      </w:rPr>
      <w:t>MARA MUNICIPAL DE RONCADOR</w:t>
    </w:r>
  </w:p>
  <w:p w14:paraId="5413C49A" w14:textId="77777777" w:rsidR="00D7763B" w:rsidRDefault="00D7763B" w:rsidP="00D7763B">
    <w:pPr>
      <w:pStyle w:val="Subttulo"/>
      <w:rPr>
        <w:rFonts w:ascii="Arial" w:hAnsi="Arial" w:cs="Arial"/>
        <w:b w:val="0"/>
        <w:bCs/>
        <w:sz w:val="20"/>
        <w:szCs w:val="20"/>
      </w:rPr>
    </w:pPr>
    <w:r>
      <w:rPr>
        <w:rFonts w:ascii="Arial" w:hAnsi="Arial" w:cs="Arial"/>
        <w:b w:val="0"/>
        <w:bCs/>
        <w:sz w:val="20"/>
        <w:szCs w:val="20"/>
      </w:rPr>
      <w:t>15ª LEGISLATURA 2021-2024</w:t>
    </w:r>
  </w:p>
  <w:p w14:paraId="156A2FB9" w14:textId="77777777" w:rsidR="00D7763B" w:rsidRPr="007B4C52" w:rsidRDefault="00D7763B" w:rsidP="00D7763B">
    <w:pPr>
      <w:pStyle w:val="Subttulo"/>
      <w:rPr>
        <w:rFonts w:ascii="Arial" w:hAnsi="Arial" w:cs="Arial"/>
        <w:b w:val="0"/>
        <w:bCs/>
        <w:sz w:val="20"/>
        <w:szCs w:val="20"/>
      </w:rPr>
    </w:pPr>
    <w:r w:rsidRPr="007B4C52">
      <w:rPr>
        <w:rFonts w:ascii="Arial" w:hAnsi="Arial" w:cs="Arial"/>
        <w:b w:val="0"/>
        <w:bCs/>
        <w:sz w:val="20"/>
        <w:szCs w:val="20"/>
      </w:rPr>
      <w:t>Rua São Paulo, 865, Centro, Roncador/PR, Fone (44) 3575-1434.</w:t>
    </w:r>
  </w:p>
  <w:p w14:paraId="25B595A4" w14:textId="77777777" w:rsidR="00D7763B" w:rsidRDefault="00D7763B" w:rsidP="00D7763B">
    <w:pPr>
      <w:pStyle w:val="Subttulo"/>
      <w:rPr>
        <w:rFonts w:ascii="Arial" w:hAnsi="Arial" w:cs="Arial"/>
        <w:b w:val="0"/>
        <w:bCs/>
        <w:sz w:val="20"/>
        <w:szCs w:val="2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7B4C52">
      <w:rPr>
        <w:rFonts w:ascii="Arial" w:hAnsi="Arial" w:cs="Arial"/>
        <w:b w:val="0"/>
        <w:bCs/>
        <w:sz w:val="20"/>
        <w:szCs w:val="20"/>
      </w:rPr>
      <w:t>CNPJ: 78.184.355/0001-75 - E-mail:</w:t>
    </w:r>
    <w:r w:rsidRPr="00F53B6B">
      <w:t xml:space="preserve"> </w:t>
    </w:r>
    <w:r w:rsidRPr="00F53B6B">
      <w:rPr>
        <w:rFonts w:ascii="Arial" w:hAnsi="Arial" w:cs="Arial"/>
        <w:b w:val="0"/>
        <w:bCs/>
        <w:sz w:val="20"/>
        <w:szCs w:val="20"/>
      </w:rPr>
      <w:t>camara@roncador.pr.leg.br</w:t>
    </w:r>
    <w:r w:rsidRPr="007B4C52">
      <w:rPr>
        <w:rFonts w:ascii="Arial" w:hAnsi="Arial" w:cs="Arial"/>
        <w:b w:val="0"/>
        <w:bCs/>
        <w:sz w:val="20"/>
        <w:szCs w:val="20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</w:t>
    </w:r>
  </w:p>
  <w:p w14:paraId="423A685B" w14:textId="77777777" w:rsidR="00D7763B" w:rsidRDefault="00B7783F" w:rsidP="00D7763B">
    <w:pPr>
      <w:pStyle w:val="Cabealho"/>
    </w:pPr>
    <w:r>
      <w:pict w14:anchorId="7AF59D97">
        <v:rect id="_x0000_i1025" style="width:0;height:1.5pt" o:hralign="center" o:hrstd="t" o:hr="t" fillcolor="#a0a0a0" stroked="f"/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750"/>
    <w:rsid w:val="000075A5"/>
    <w:rsid w:val="0049560E"/>
    <w:rsid w:val="004B7FE1"/>
    <w:rsid w:val="00534802"/>
    <w:rsid w:val="00557957"/>
    <w:rsid w:val="005C60DB"/>
    <w:rsid w:val="00713750"/>
    <w:rsid w:val="007819AC"/>
    <w:rsid w:val="007F65DF"/>
    <w:rsid w:val="008355C2"/>
    <w:rsid w:val="00933E21"/>
    <w:rsid w:val="009A69A6"/>
    <w:rsid w:val="009F214F"/>
    <w:rsid w:val="00AC366A"/>
    <w:rsid w:val="00B7783F"/>
    <w:rsid w:val="00CC1C7F"/>
    <w:rsid w:val="00D7763B"/>
    <w:rsid w:val="00E85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45E9912"/>
  <w15:docId w15:val="{6B609452-3ECC-4F9B-BE66-BB5EFB231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7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13750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1375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ubttulo">
    <w:name w:val="Subtitle"/>
    <w:basedOn w:val="Normal"/>
    <w:link w:val="SubttuloChar"/>
    <w:qFormat/>
    <w:rsid w:val="00713750"/>
    <w:pPr>
      <w:jc w:val="center"/>
    </w:pPr>
    <w:rPr>
      <w:b/>
    </w:rPr>
  </w:style>
  <w:style w:type="character" w:customStyle="1" w:styleId="SubttuloChar">
    <w:name w:val="Subtítulo Char"/>
    <w:basedOn w:val="Fontepargpadro"/>
    <w:link w:val="Subttulo"/>
    <w:rsid w:val="00713750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Refdenotaderodap">
    <w:name w:val="footnote reference"/>
    <w:uiPriority w:val="99"/>
    <w:semiHidden/>
    <w:unhideWhenUsed/>
    <w:rsid w:val="00713750"/>
    <w:rPr>
      <w:vertAlign w:val="superscript"/>
    </w:rPr>
  </w:style>
  <w:style w:type="paragraph" w:styleId="Rodap">
    <w:name w:val="footer"/>
    <w:basedOn w:val="Normal"/>
    <w:link w:val="RodapChar"/>
    <w:uiPriority w:val="99"/>
    <w:unhideWhenUsed/>
    <w:rsid w:val="00D7763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7763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7819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637</Words>
  <Characters>3444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CAMARA RONCADOR</cp:lastModifiedBy>
  <cp:revision>2</cp:revision>
  <dcterms:created xsi:type="dcterms:W3CDTF">2023-07-04T19:58:00Z</dcterms:created>
  <dcterms:modified xsi:type="dcterms:W3CDTF">2023-07-04T19:58:00Z</dcterms:modified>
</cp:coreProperties>
</file>