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4F0099E7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DISPÕE SOBRE </w:t>
      </w:r>
      <w:r w:rsidR="001B6D45">
        <w:rPr>
          <w:rFonts w:cstheme="minorHAnsi"/>
          <w:b/>
          <w:bCs/>
          <w:sz w:val="24"/>
          <w:szCs w:val="24"/>
        </w:rPr>
        <w:t xml:space="preserve">A CONCESSÃO DE GRATUIDADE PELO PRAZO DE 10 MINUTOS </w:t>
      </w:r>
      <w:r w:rsidR="00DB2553">
        <w:rPr>
          <w:rFonts w:cstheme="minorHAnsi"/>
          <w:b/>
          <w:bCs/>
          <w:sz w:val="24"/>
          <w:szCs w:val="24"/>
        </w:rPr>
        <w:t>DENTRO DO ESPAÇO DE ABRANGÊNCIA DO ESTACIONAMENTO ROTATIVO (ZONA AZUL)</w:t>
      </w:r>
      <w:r w:rsidRPr="00916655">
        <w:rPr>
          <w:rFonts w:cstheme="minorHAnsi"/>
          <w:b/>
          <w:bCs/>
          <w:sz w:val="24"/>
          <w:szCs w:val="24"/>
        </w:rPr>
        <w:t>, E DÁ OUTRAS PROVIDÊNCIAS.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6FD0771D" w14:textId="651D11DA" w:rsidR="00E6515F" w:rsidRPr="00916655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A</w:t>
      </w:r>
      <w:r w:rsidR="00DB2553">
        <w:rPr>
          <w:rFonts w:cstheme="minorHAnsi"/>
          <w:sz w:val="24"/>
          <w:szCs w:val="24"/>
        </w:rPr>
        <w:t>utoriza, dentro do espaço de abrangência das áreas do Sistema de Estacionamento Rotativo, a concessão de gratuidade pelo prazo de 10 (dez) minutos</w:t>
      </w:r>
      <w:r w:rsidR="00427323">
        <w:rPr>
          <w:rFonts w:cstheme="minorHAnsi"/>
          <w:sz w:val="24"/>
          <w:szCs w:val="24"/>
        </w:rPr>
        <w:t>.</w:t>
      </w:r>
      <w:r w:rsidR="00DB2553">
        <w:rPr>
          <w:rFonts w:cstheme="minorHAnsi"/>
          <w:sz w:val="24"/>
          <w:szCs w:val="24"/>
        </w:rPr>
        <w:t xml:space="preserve"> </w:t>
      </w:r>
    </w:p>
    <w:p w14:paraId="3DDDCC42" w14:textId="47472D81" w:rsidR="00DB2553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2º</w:t>
      </w:r>
      <w:r w:rsidR="00DB2553">
        <w:rPr>
          <w:rFonts w:cstheme="minorHAnsi"/>
          <w:b/>
          <w:bCs/>
          <w:sz w:val="24"/>
          <w:szCs w:val="24"/>
        </w:rPr>
        <w:t xml:space="preserve"> </w:t>
      </w:r>
      <w:r w:rsidR="00DB2553">
        <w:rPr>
          <w:rFonts w:cstheme="minorHAnsi"/>
          <w:sz w:val="24"/>
          <w:szCs w:val="24"/>
        </w:rPr>
        <w:t>O Poder Executivo Municipal regulamentará por Decreto a presente Lei, no que couber.</w:t>
      </w:r>
    </w:p>
    <w:p w14:paraId="0D93BBF9" w14:textId="078DB1BF" w:rsidR="00E6515F" w:rsidRDefault="00DB2553" w:rsidP="001225A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DB2553">
        <w:rPr>
          <w:rFonts w:cstheme="minorHAnsi"/>
          <w:b/>
          <w:bCs/>
          <w:sz w:val="24"/>
          <w:szCs w:val="24"/>
        </w:rPr>
        <w:t>Art. 3º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E6515F" w:rsidRPr="00916655">
        <w:rPr>
          <w:rFonts w:cstheme="minorHAnsi"/>
          <w:sz w:val="24"/>
          <w:szCs w:val="24"/>
        </w:rPr>
        <w:t>Esta Lei entra em vigor na data de sua publicação, revogadas as disposições em contrário.</w:t>
      </w:r>
    </w:p>
    <w:p w14:paraId="51332B5F" w14:textId="77777777" w:rsidR="001225AE" w:rsidRDefault="001225AE" w:rsidP="001225A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4580EBC2" w:rsidR="00E6515F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1225AE">
        <w:rPr>
          <w:rFonts w:cstheme="minorHAnsi"/>
          <w:b/>
          <w:sz w:val="24"/>
          <w:szCs w:val="24"/>
        </w:rPr>
        <w:t>21</w:t>
      </w:r>
      <w:r w:rsidRPr="00916655">
        <w:rPr>
          <w:rFonts w:cstheme="minorHAnsi"/>
          <w:b/>
          <w:sz w:val="24"/>
          <w:szCs w:val="24"/>
        </w:rPr>
        <w:t xml:space="preserve"> de fevereiro de 202</w:t>
      </w:r>
      <w:r w:rsidR="00427323">
        <w:rPr>
          <w:rFonts w:cstheme="minorHAnsi"/>
          <w:b/>
          <w:sz w:val="24"/>
          <w:szCs w:val="24"/>
        </w:rPr>
        <w:t>4</w:t>
      </w:r>
      <w:r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4A9167D" w14:textId="77777777" w:rsidR="001225AE" w:rsidRDefault="001225AE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BDF04BF" w14:textId="77777777" w:rsidR="001225AE" w:rsidRDefault="001225AE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10BAB35" w14:textId="77777777" w:rsidR="001225AE" w:rsidRPr="00916655" w:rsidRDefault="001225AE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473701D6" w:rsidR="00863E7D" w:rsidRPr="00916655" w:rsidRDefault="001225AE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DANIEL RODRIGUES DE FARIAS - DANDAN</w:t>
      </w:r>
    </w:p>
    <w:p w14:paraId="2E9F3177" w14:textId="0398C342" w:rsidR="00863E7D" w:rsidRDefault="00863E7D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63A83531" w14:textId="77777777" w:rsidR="001225AE" w:rsidRDefault="001225AE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8C73352" w14:textId="77777777" w:rsidR="001225AE" w:rsidRDefault="001225AE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CA14109" w14:textId="77777777" w:rsidR="001225AE" w:rsidRDefault="001225AE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2EB8241" w14:textId="77777777" w:rsidR="001225AE" w:rsidRDefault="001225AE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6CDC7B9" w14:textId="77777777" w:rsidR="001225AE" w:rsidRDefault="001225AE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BF4BA33" w14:textId="77777777" w:rsidR="001225AE" w:rsidRDefault="001225AE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775C152" w14:textId="77777777" w:rsidR="001225AE" w:rsidRPr="00916655" w:rsidRDefault="001225AE" w:rsidP="001225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Pr="00916655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63FBB93A" w14:textId="670CCFBE" w:rsidR="00E23926" w:rsidRPr="00E23926" w:rsidRDefault="00E23926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23926">
        <w:rPr>
          <w:rFonts w:cstheme="minorHAnsi"/>
          <w:sz w:val="24"/>
          <w:szCs w:val="24"/>
        </w:rPr>
        <w:t>O artigo 24, inciso X, do Código de Trânsito Brasileiro - CTB, prevê que a competência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para implantar, manter e operar sistema de estacionamento rotativo pago nos Municípios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compete aos órgãos e entidades executivos de trânsito dos mesmos, sendo certo que, por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disposição do § 2º do mesmo artigo, para exercer tal competência, o Município deve estar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integrado ao Sistema Nacional de Trânsito, nos termos da Resolução do CONTRAN nº 106/99.</w:t>
      </w:r>
    </w:p>
    <w:p w14:paraId="5164F8A3" w14:textId="56F1A474" w:rsidR="00E23926" w:rsidRPr="00E23926" w:rsidRDefault="00E23926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23926">
        <w:rPr>
          <w:rFonts w:cstheme="minorHAnsi"/>
          <w:sz w:val="24"/>
          <w:szCs w:val="24"/>
        </w:rPr>
        <w:t>É com base nesse dispositivo da legislação de trânsito, que constitucionalmente é de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competência federal nos termos do artigo 22, XI da Constituição Federal de 1988, que o órgão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executivo de trânsito municipal seleciona aquelas áreas em que a procura seja superior à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quantidade de vagas existentes, como, por exemplo, as áreas comerciais ou de grande afluxo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de veículos, possibilitando o uso destas vagas de maneira rotativa, criando um sistema de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estacionamento rotativo pago, gerando assim a possibilidade genérica de cobrança pelo uso de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bem público através de serviço público cuja prestação deve seguir as regras referentes às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concessões públicas estabelecidas pelos artigos 30, inciso V, e 175, ambos da Constituição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Federal (CF/88).</w:t>
      </w:r>
    </w:p>
    <w:p w14:paraId="6F1166C3" w14:textId="724057DB" w:rsidR="00E23926" w:rsidRPr="00E23926" w:rsidRDefault="00E23926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23926">
        <w:rPr>
          <w:rFonts w:cstheme="minorHAnsi"/>
          <w:sz w:val="24"/>
          <w:szCs w:val="24"/>
        </w:rPr>
        <w:t>Hoje, a grande maioria dos Municípios que possuem centros urbanos com densa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concentração de veículos em determinadas áreas já aderiram à possibilidade inscrita no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art.24, X do Código de Trânsito Brasileiro e mediante concessão a empresas licitadas junto à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iniciativa privada gerem os seus sistemas de estacionamento rotativo, também conhecido como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ZONA AZUL.</w:t>
      </w:r>
    </w:p>
    <w:p w14:paraId="315E4649" w14:textId="77777777" w:rsidR="00E23926" w:rsidRDefault="00E23926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23926">
        <w:rPr>
          <w:rFonts w:cstheme="minorHAnsi"/>
          <w:sz w:val="24"/>
          <w:szCs w:val="24"/>
        </w:rPr>
        <w:t>Para tanto, tais cidades têm regulamentado tais serviços através de leis que, entre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outros itens, trazem a previsão das tarifas a serem cobradas, períodos de cobrança, horários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de obrigatoriedade do pagamento, prazo de tolerância na ocupação da vaga, dentre outros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 xml:space="preserve">assuntos. </w:t>
      </w:r>
    </w:p>
    <w:p w14:paraId="43907CC7" w14:textId="77777777" w:rsidR="00E23926" w:rsidRDefault="00E23926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E23926">
        <w:rPr>
          <w:rFonts w:cstheme="minorHAnsi"/>
          <w:sz w:val="24"/>
          <w:szCs w:val="24"/>
        </w:rPr>
        <w:t>Porém, tais legislações não tem natureza de legislação de trânsito, sendo meras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legislações de cunho administrativo que guiam a relação entre o Município e a empresa que</w:t>
      </w:r>
      <w:r>
        <w:rPr>
          <w:rFonts w:cstheme="minorHAnsi"/>
          <w:sz w:val="24"/>
          <w:szCs w:val="24"/>
        </w:rPr>
        <w:t xml:space="preserve"> </w:t>
      </w:r>
      <w:r w:rsidRPr="00E23926">
        <w:rPr>
          <w:rFonts w:cstheme="minorHAnsi"/>
          <w:sz w:val="24"/>
          <w:szCs w:val="24"/>
        </w:rPr>
        <w:t>vai explorar a concessão pública sobre o serviço</w:t>
      </w:r>
      <w:r>
        <w:rPr>
          <w:rFonts w:cstheme="minorHAnsi"/>
          <w:sz w:val="24"/>
          <w:szCs w:val="24"/>
        </w:rPr>
        <w:t>.</w:t>
      </w:r>
    </w:p>
    <w:p w14:paraId="52D74B9C" w14:textId="061018A9" w:rsidR="00E23926" w:rsidRDefault="00E23926" w:rsidP="00E23926">
      <w:pPr>
        <w:spacing w:line="240" w:lineRule="auto"/>
        <w:ind w:firstLine="1418"/>
        <w:jc w:val="both"/>
        <w:rPr>
          <w:sz w:val="24"/>
          <w:szCs w:val="24"/>
        </w:rPr>
      </w:pPr>
      <w:r w:rsidRPr="00E23926">
        <w:rPr>
          <w:sz w:val="24"/>
          <w:szCs w:val="24"/>
        </w:rPr>
        <w:t>O que desejamos com o presente Projeto de Lei é apenas resguardar o</w:t>
      </w:r>
      <w:r w:rsidR="0024370D">
        <w:rPr>
          <w:sz w:val="24"/>
          <w:szCs w:val="24"/>
        </w:rPr>
        <w:t xml:space="preserve">s </w:t>
      </w:r>
      <w:r w:rsidRPr="00E23926">
        <w:rPr>
          <w:sz w:val="24"/>
          <w:szCs w:val="24"/>
        </w:rPr>
        <w:t>princípio</w:t>
      </w:r>
      <w:r w:rsidR="0024370D">
        <w:rPr>
          <w:sz w:val="24"/>
          <w:szCs w:val="24"/>
        </w:rPr>
        <w:t>s</w:t>
      </w:r>
      <w:r w:rsidRPr="00E23926">
        <w:rPr>
          <w:sz w:val="24"/>
          <w:szCs w:val="24"/>
        </w:rPr>
        <w:t xml:space="preserve"> da razoabilidade e da proporcionalidade </w:t>
      </w:r>
      <w:r w:rsidR="00BD38D9">
        <w:rPr>
          <w:sz w:val="24"/>
          <w:szCs w:val="24"/>
        </w:rPr>
        <w:t>dentro</w:t>
      </w:r>
      <w:r w:rsidRPr="00E23926">
        <w:rPr>
          <w:sz w:val="24"/>
          <w:szCs w:val="24"/>
        </w:rPr>
        <w:t xml:space="preserve"> do serviço de estacionamento rotativo, demonstrando que aquele que ocupa e desocupa a vaga rotativa dentro de um período de até 1</w:t>
      </w:r>
      <w:r w:rsidR="004E78DB">
        <w:rPr>
          <w:sz w:val="24"/>
          <w:szCs w:val="24"/>
        </w:rPr>
        <w:t>0</w:t>
      </w:r>
      <w:r w:rsidRPr="00E23926">
        <w:rPr>
          <w:sz w:val="24"/>
          <w:szCs w:val="24"/>
        </w:rPr>
        <w:t xml:space="preserve"> (</w:t>
      </w:r>
      <w:r w:rsidR="004E78DB">
        <w:rPr>
          <w:sz w:val="24"/>
          <w:szCs w:val="24"/>
        </w:rPr>
        <w:t>dez</w:t>
      </w:r>
      <w:r w:rsidRPr="00E23926">
        <w:rPr>
          <w:sz w:val="24"/>
          <w:szCs w:val="24"/>
        </w:rPr>
        <w:t xml:space="preserve"> minutos) não comprometeu a rotatividade da mesma</w:t>
      </w:r>
      <w:r w:rsidR="00BD38D9">
        <w:rPr>
          <w:sz w:val="24"/>
          <w:szCs w:val="24"/>
        </w:rPr>
        <w:t>. L</w:t>
      </w:r>
      <w:r w:rsidRPr="00E23926">
        <w:rPr>
          <w:sz w:val="24"/>
          <w:szCs w:val="24"/>
        </w:rPr>
        <w:t xml:space="preserve">ogo deve ser tratado com gratuidade pelo sistema de estacionamento rotativo, uma vez que a essência do serviço público concedido é manter a rotatividade das vagas, não sendo razoável cobrar do consumidor o valor cobrado pelo período cheio quando proporcionalmente a utilização foi tão curta. </w:t>
      </w:r>
    </w:p>
    <w:p w14:paraId="0DD8FC5A" w14:textId="57DC69A9" w:rsidR="00E23926" w:rsidRPr="00E23926" w:rsidRDefault="00E23926" w:rsidP="00E23926">
      <w:pPr>
        <w:spacing w:line="240" w:lineRule="auto"/>
        <w:ind w:firstLine="1418"/>
        <w:jc w:val="both"/>
        <w:rPr>
          <w:rFonts w:cstheme="minorHAnsi"/>
          <w:sz w:val="28"/>
          <w:szCs w:val="28"/>
        </w:rPr>
      </w:pPr>
      <w:r w:rsidRPr="00E23926">
        <w:rPr>
          <w:sz w:val="24"/>
          <w:szCs w:val="24"/>
        </w:rPr>
        <w:t>Essa prática</w:t>
      </w:r>
      <w:r w:rsidR="004E78DB">
        <w:rPr>
          <w:sz w:val="24"/>
          <w:szCs w:val="24"/>
        </w:rPr>
        <w:t xml:space="preserve"> de tolerância</w:t>
      </w:r>
      <w:r w:rsidRPr="00E23926">
        <w:rPr>
          <w:sz w:val="24"/>
          <w:szCs w:val="24"/>
        </w:rPr>
        <w:t xml:space="preserve"> já consta de muitas leis municipais regulamentadoras do serviço de estacionamento rotativo pago por todo o Brasil</w:t>
      </w:r>
      <w:r w:rsidR="004E78DB">
        <w:rPr>
          <w:sz w:val="24"/>
          <w:szCs w:val="24"/>
        </w:rPr>
        <w:t>.</w:t>
      </w:r>
    </w:p>
    <w:p w14:paraId="6D9944B6" w14:textId="77777777" w:rsidR="00E23926" w:rsidRDefault="00E23926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632D5305" w14:textId="77777777" w:rsidR="00E23926" w:rsidRDefault="00E23926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7A28B680" w14:textId="2BEDF719" w:rsidR="00E6515F" w:rsidRPr="00916655" w:rsidRDefault="00E6515F" w:rsidP="00E2392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</w:p>
    <w:p w14:paraId="72845A99" w14:textId="77777777" w:rsidR="00916655" w:rsidRDefault="0091665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046CF8A2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4E78DB">
        <w:rPr>
          <w:rFonts w:cstheme="minorHAnsi"/>
          <w:b/>
          <w:sz w:val="24"/>
          <w:szCs w:val="24"/>
        </w:rPr>
        <w:t>21</w:t>
      </w:r>
      <w:r w:rsidRPr="00916655">
        <w:rPr>
          <w:rFonts w:cstheme="minorHAnsi"/>
          <w:b/>
          <w:sz w:val="24"/>
          <w:szCs w:val="24"/>
        </w:rPr>
        <w:t xml:space="preserve"> de fevereiro de 202</w:t>
      </w:r>
      <w:r w:rsidR="004E78DB">
        <w:rPr>
          <w:rFonts w:cstheme="minorHAnsi"/>
          <w:b/>
          <w:sz w:val="24"/>
          <w:szCs w:val="24"/>
        </w:rPr>
        <w:t>4</w:t>
      </w:r>
      <w:r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7B118BD4" w:rsidR="00A029A0" w:rsidRPr="00916655" w:rsidRDefault="004E78DB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DANIEL RODRIGUES DE FARIAS - DANDAN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130DCF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1225AE"/>
    <w:rsid w:val="00130DCF"/>
    <w:rsid w:val="001B6D45"/>
    <w:rsid w:val="0024370D"/>
    <w:rsid w:val="003176E7"/>
    <w:rsid w:val="00427323"/>
    <w:rsid w:val="004E78DB"/>
    <w:rsid w:val="00863E7D"/>
    <w:rsid w:val="008C6B6F"/>
    <w:rsid w:val="00916655"/>
    <w:rsid w:val="00A029A0"/>
    <w:rsid w:val="00A46ACF"/>
    <w:rsid w:val="00AD0757"/>
    <w:rsid w:val="00BD38D9"/>
    <w:rsid w:val="00DB2553"/>
    <w:rsid w:val="00E23926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611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4</cp:revision>
  <cp:lastPrinted>2024-02-19T18:24:00Z</cp:lastPrinted>
  <dcterms:created xsi:type="dcterms:W3CDTF">2024-02-19T20:01:00Z</dcterms:created>
  <dcterms:modified xsi:type="dcterms:W3CDTF">2024-02-20T12:00:00Z</dcterms:modified>
</cp:coreProperties>
</file>