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2C58582F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537F07">
        <w:rPr>
          <w:b/>
          <w:sz w:val="28"/>
          <w:szCs w:val="28"/>
        </w:rPr>
        <w:t>20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A3583E">
        <w:rPr>
          <w:b/>
          <w:sz w:val="28"/>
          <w:szCs w:val="28"/>
        </w:rPr>
        <w:t>0</w:t>
      </w:r>
      <w:r w:rsidR="00537F0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/</w:t>
      </w:r>
      <w:r w:rsidR="00A3583E">
        <w:rPr>
          <w:b/>
          <w:sz w:val="28"/>
          <w:szCs w:val="28"/>
        </w:rPr>
        <w:t>1</w:t>
      </w:r>
      <w:r w:rsidR="00537F07">
        <w:rPr>
          <w:b/>
          <w:sz w:val="28"/>
          <w:szCs w:val="28"/>
        </w:rPr>
        <w:t>1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04D34BC2" w:rsidR="001E46E4" w:rsidRDefault="00240922" w:rsidP="00C5678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C56788">
        <w:rPr>
          <w:b/>
          <w:sz w:val="28"/>
          <w:szCs w:val="28"/>
        </w:rPr>
        <w:t xml:space="preserve"> </w:t>
      </w:r>
      <w:r w:rsidR="00537F07" w:rsidRPr="00537F07">
        <w:rPr>
          <w:b/>
          <w:sz w:val="28"/>
          <w:szCs w:val="28"/>
        </w:rPr>
        <w:t>Lei Ordinária nº 21/2025, de autoria do Poder Executivo Municipal que: “DISPÕE SOBRE AS DIRETRIZES PARA ELABORAÇÃO DA LEI ORÇAMENTÁRIA DE 2026 E DÁ OUTRAS PROVIDÊNCIAS".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114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37F07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5F7E8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583E"/>
    <w:rsid w:val="00A364E4"/>
    <w:rsid w:val="00A376BB"/>
    <w:rsid w:val="00A37E76"/>
    <w:rsid w:val="00A451E4"/>
    <w:rsid w:val="00A45756"/>
    <w:rsid w:val="00A5070D"/>
    <w:rsid w:val="00A52ACB"/>
    <w:rsid w:val="00A66ECB"/>
    <w:rsid w:val="00A8027F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36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3C2E"/>
    <w:rsid w:val="00D76403"/>
    <w:rsid w:val="00D8076A"/>
    <w:rsid w:val="00D90FCD"/>
    <w:rsid w:val="00D95E41"/>
    <w:rsid w:val="00DA1A7F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39</cp:revision>
  <cp:lastPrinted>2023-11-30T15:52:00Z</cp:lastPrinted>
  <dcterms:created xsi:type="dcterms:W3CDTF">2025-10-20T21:40:00Z</dcterms:created>
  <dcterms:modified xsi:type="dcterms:W3CDTF">2025-12-11T13:55:00Z</dcterms:modified>
</cp:coreProperties>
</file>