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E44B0">
        <w:rPr>
          <w:bCs/>
          <w:color w:val="auto"/>
          <w:sz w:val="44"/>
          <w:u w:val="single"/>
        </w:rPr>
        <w:t>119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FE44B0">
        <w:rPr>
          <w:sz w:val="28"/>
          <w:szCs w:val="28"/>
        </w:rPr>
        <w:t>a Diretora Escolar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FE44B0">
        <w:rPr>
          <w:sz w:val="28"/>
          <w:szCs w:val="28"/>
        </w:rPr>
        <w:t xml:space="preserve">Ada </w:t>
      </w:r>
      <w:proofErr w:type="spellStart"/>
      <w:r w:rsidR="00FE44B0">
        <w:rPr>
          <w:sz w:val="28"/>
          <w:szCs w:val="28"/>
        </w:rPr>
        <w:t>Yavelberg</w:t>
      </w:r>
      <w:proofErr w:type="spellEnd"/>
      <w:r w:rsidR="00FE44B0">
        <w:rPr>
          <w:sz w:val="28"/>
          <w:szCs w:val="28"/>
        </w:rPr>
        <w:t xml:space="preserve"> Ferreira Santos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E44B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E44B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2017-03-30T14:26:00Z</dcterms:created>
  <dcterms:modified xsi:type="dcterms:W3CDTF">2017-03-30T14:26:00Z</dcterms:modified>
</cp:coreProperties>
</file>