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78344B" w14:textId="01E9784A" w:rsidR="00477EAB" w:rsidRPr="00276DBB" w:rsidRDefault="2A482442" w:rsidP="2A482442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2A482442">
        <w:rPr>
          <w:rFonts w:ascii="Arial" w:hAnsi="Arial" w:cs="Arial"/>
          <w:b/>
          <w:bCs/>
          <w:sz w:val="28"/>
          <w:szCs w:val="28"/>
        </w:rPr>
        <w:t>INDICAÇÃO N°          /2025</w:t>
      </w:r>
    </w:p>
    <w:p w14:paraId="267AEB21" w14:textId="26A2ECA4" w:rsidR="00477EAB" w:rsidRDefault="00477EAB" w:rsidP="00477EAB">
      <w:pPr>
        <w:spacing w:line="360" w:lineRule="auto"/>
        <w:ind w:firstLine="708"/>
        <w:jc w:val="both"/>
        <w:rPr>
          <w:rFonts w:ascii="Arial" w:hAnsi="Arial" w:cs="Arial"/>
          <w:sz w:val="28"/>
          <w:szCs w:val="28"/>
        </w:rPr>
      </w:pPr>
      <w:r w:rsidRPr="00276DBB">
        <w:rPr>
          <w:rFonts w:ascii="Arial" w:hAnsi="Arial" w:cs="Arial"/>
          <w:sz w:val="28"/>
          <w:szCs w:val="28"/>
        </w:rPr>
        <w:t>Indico à Mesa, após ouvido o Plenário desta Casa Legislativa, nos termos legais e regimentais, que seja encaminhado ao Prefeito deste Município, Senhor Marcílio Régio, pedido para que</w:t>
      </w:r>
      <w:r w:rsidR="00702919">
        <w:rPr>
          <w:rFonts w:ascii="Arial" w:hAnsi="Arial" w:cs="Arial"/>
          <w:sz w:val="28"/>
          <w:szCs w:val="28"/>
        </w:rPr>
        <w:t xml:space="preserve"> ocorra a</w:t>
      </w:r>
      <w:r w:rsidRPr="00276DBB">
        <w:rPr>
          <w:rFonts w:ascii="Arial" w:hAnsi="Arial" w:cs="Arial"/>
          <w:sz w:val="28"/>
          <w:szCs w:val="28"/>
        </w:rPr>
        <w:t xml:space="preserve"> </w:t>
      </w:r>
      <w:r w:rsidR="00702919" w:rsidRPr="00702919">
        <w:rPr>
          <w:rFonts w:ascii="Arial" w:hAnsi="Arial" w:cs="Arial"/>
          <w:sz w:val="28"/>
          <w:szCs w:val="28"/>
        </w:rPr>
        <w:t>imediata ativação do Conselho Municipal de Desenvolvimento Urbano, órgão previsto no Plano Diretor, com a eleição/n</w:t>
      </w:r>
      <w:r w:rsidR="00702919">
        <w:rPr>
          <w:rFonts w:ascii="Arial" w:hAnsi="Arial" w:cs="Arial"/>
          <w:sz w:val="28"/>
          <w:szCs w:val="28"/>
        </w:rPr>
        <w:t>omea</w:t>
      </w:r>
      <w:r w:rsidR="00702919" w:rsidRPr="00702919">
        <w:rPr>
          <w:rFonts w:ascii="Arial" w:hAnsi="Arial" w:cs="Arial"/>
          <w:sz w:val="28"/>
          <w:szCs w:val="28"/>
        </w:rPr>
        <w:t>ção de seus membros, definição de competência, funcionamento regular, dotação orçamentária suficiente, e criação de mecanismos de participação democrática permanente, inclusive por sociedade civil e segmentos técnicos.</w:t>
      </w:r>
      <w:r>
        <w:rPr>
          <w:rStyle w:val="Forte"/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</w:t>
      </w:r>
      <w:r w:rsidRPr="00276DBB">
        <w:rPr>
          <w:rFonts w:ascii="Arial" w:hAnsi="Arial" w:cs="Arial"/>
          <w:sz w:val="28"/>
          <w:szCs w:val="28"/>
        </w:rPr>
        <w:t>no Município de Goiana – PE.</w:t>
      </w:r>
    </w:p>
    <w:p w14:paraId="0DEA701F" w14:textId="423392BB" w:rsidR="00A946AE" w:rsidRDefault="2A482442" w:rsidP="00A946AE">
      <w:pPr>
        <w:spacing w:line="360" w:lineRule="auto"/>
        <w:ind w:firstLine="708"/>
        <w:rPr>
          <w:rFonts w:ascii="Arial" w:hAnsi="Arial" w:cs="Arial"/>
          <w:sz w:val="28"/>
          <w:szCs w:val="28"/>
        </w:rPr>
      </w:pPr>
      <w:r w:rsidRPr="2A482442">
        <w:rPr>
          <w:rFonts w:ascii="Arial" w:hAnsi="Arial" w:cs="Arial"/>
          <w:sz w:val="28"/>
          <w:szCs w:val="28"/>
        </w:rPr>
        <w:t>Da decisão da Casa, dê-se ciência a impressa falada e escrita do município de Goiana.</w:t>
      </w:r>
      <w:r w:rsidR="00477EAB">
        <w:br/>
      </w:r>
      <w:r w:rsidR="00477EAB">
        <w:br/>
      </w:r>
      <w:r w:rsidRPr="2A482442">
        <w:rPr>
          <w:rFonts w:ascii="Arial" w:hAnsi="Arial" w:cs="Arial"/>
          <w:sz w:val="28"/>
          <w:szCs w:val="28"/>
        </w:rPr>
        <w:t xml:space="preserve">Plenário Vereador Clóvis Fontenelle Guimarães, </w:t>
      </w:r>
      <w:r w:rsidR="00702919">
        <w:rPr>
          <w:rFonts w:ascii="Arial" w:hAnsi="Arial" w:cs="Arial"/>
          <w:sz w:val="28"/>
          <w:szCs w:val="28"/>
        </w:rPr>
        <w:t>30</w:t>
      </w:r>
      <w:r w:rsidRPr="2A482442">
        <w:rPr>
          <w:rFonts w:ascii="Arial" w:hAnsi="Arial" w:cs="Arial"/>
          <w:sz w:val="28"/>
          <w:szCs w:val="28"/>
        </w:rPr>
        <w:t xml:space="preserve"> de setembro de 2025.</w:t>
      </w:r>
    </w:p>
    <w:p w14:paraId="75DC11A7" w14:textId="77777777" w:rsidR="00A946AE" w:rsidRDefault="00A946AE" w:rsidP="00A946AE">
      <w:pPr>
        <w:spacing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Ana Diamante</w:t>
      </w:r>
      <w:r>
        <w:rPr>
          <w:rFonts w:ascii="Arial" w:hAnsi="Arial" w:cs="Arial"/>
          <w:sz w:val="28"/>
          <w:szCs w:val="28"/>
        </w:rPr>
        <w:br/>
        <w:t>Vereadora.</w:t>
      </w:r>
    </w:p>
    <w:p w14:paraId="692AE6C0" w14:textId="169E1CF2" w:rsidR="00A946AE" w:rsidRDefault="00A946AE" w:rsidP="00A946AE">
      <w:pPr>
        <w:spacing w:line="360" w:lineRule="auto"/>
        <w:ind w:firstLine="708"/>
        <w:rPr>
          <w:rFonts w:ascii="Arial" w:hAnsi="Arial" w:cs="Arial"/>
          <w:sz w:val="28"/>
          <w:szCs w:val="28"/>
        </w:rPr>
      </w:pPr>
    </w:p>
    <w:p w14:paraId="0418B4D4" w14:textId="42DDCB2F" w:rsidR="00A946AE" w:rsidRDefault="00A946AE" w:rsidP="00477EAB">
      <w:pPr>
        <w:spacing w:line="360" w:lineRule="auto"/>
        <w:ind w:firstLine="708"/>
        <w:rPr>
          <w:rFonts w:ascii="Arial" w:hAnsi="Arial" w:cs="Arial"/>
          <w:sz w:val="28"/>
          <w:szCs w:val="28"/>
        </w:rPr>
      </w:pPr>
    </w:p>
    <w:p w14:paraId="51C89D52" w14:textId="18482510" w:rsidR="00A946AE" w:rsidRDefault="00A946AE" w:rsidP="00477EAB">
      <w:pPr>
        <w:spacing w:line="360" w:lineRule="auto"/>
        <w:ind w:firstLine="708"/>
        <w:rPr>
          <w:rFonts w:ascii="Arial" w:hAnsi="Arial" w:cs="Arial"/>
          <w:sz w:val="28"/>
          <w:szCs w:val="28"/>
        </w:rPr>
      </w:pPr>
    </w:p>
    <w:p w14:paraId="22C29B39" w14:textId="1EC9AD54" w:rsidR="00A946AE" w:rsidRDefault="00A946AE" w:rsidP="00477EAB">
      <w:pPr>
        <w:spacing w:line="360" w:lineRule="auto"/>
        <w:ind w:firstLine="708"/>
        <w:rPr>
          <w:rFonts w:ascii="Arial" w:hAnsi="Arial" w:cs="Arial"/>
          <w:sz w:val="28"/>
          <w:szCs w:val="28"/>
        </w:rPr>
      </w:pPr>
    </w:p>
    <w:p w14:paraId="3A0B3E44" w14:textId="5C608CDF" w:rsidR="00A946AE" w:rsidRDefault="00A946AE" w:rsidP="00477EAB">
      <w:pPr>
        <w:spacing w:line="360" w:lineRule="auto"/>
        <w:ind w:firstLine="708"/>
        <w:rPr>
          <w:rFonts w:ascii="Arial" w:hAnsi="Arial" w:cs="Arial"/>
          <w:sz w:val="28"/>
          <w:szCs w:val="28"/>
        </w:rPr>
      </w:pPr>
    </w:p>
    <w:p w14:paraId="64F9B485" w14:textId="2A704CAC" w:rsidR="00A946AE" w:rsidRDefault="00A946AE" w:rsidP="00702919">
      <w:pPr>
        <w:spacing w:line="360" w:lineRule="auto"/>
        <w:rPr>
          <w:rFonts w:ascii="Arial" w:hAnsi="Arial" w:cs="Arial"/>
          <w:sz w:val="28"/>
          <w:szCs w:val="28"/>
        </w:rPr>
      </w:pPr>
    </w:p>
    <w:p w14:paraId="5A96D46F" w14:textId="535D091F" w:rsidR="00477EAB" w:rsidRDefault="00477EAB" w:rsidP="00A946AE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7A79E1">
        <w:rPr>
          <w:rFonts w:ascii="Arial" w:hAnsi="Arial" w:cs="Arial"/>
          <w:b/>
          <w:bCs/>
          <w:sz w:val="28"/>
          <w:szCs w:val="28"/>
        </w:rPr>
        <w:lastRenderedPageBreak/>
        <w:t>JUSTIFICATIVA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37603D69" w14:textId="77777777" w:rsidR="00702919" w:rsidRPr="00702919" w:rsidRDefault="00702919" w:rsidP="00702919">
      <w:pPr>
        <w:pStyle w:val="NormalWeb"/>
        <w:jc w:val="both"/>
        <w:rPr>
          <w:rFonts w:ascii="Arial" w:hAnsi="Arial" w:cs="Arial"/>
          <w:sz w:val="28"/>
          <w:szCs w:val="28"/>
        </w:rPr>
      </w:pPr>
      <w:r w:rsidRPr="00702919">
        <w:rPr>
          <w:rFonts w:ascii="Arial" w:hAnsi="Arial" w:cs="Arial"/>
          <w:sz w:val="28"/>
          <w:szCs w:val="28"/>
        </w:rPr>
        <w:t>1.</w:t>
      </w:r>
      <w:r w:rsidRPr="00702919">
        <w:rPr>
          <w:rFonts w:ascii="Arial" w:hAnsi="Arial" w:cs="Arial"/>
          <w:sz w:val="28"/>
          <w:szCs w:val="28"/>
        </w:rPr>
        <w:tab/>
        <w:t>Cumprimento de norma legal / estatutária</w:t>
      </w:r>
    </w:p>
    <w:p w14:paraId="0220AC8E" w14:textId="77777777" w:rsidR="00702919" w:rsidRPr="00702919" w:rsidRDefault="00702919" w:rsidP="00702919">
      <w:pPr>
        <w:pStyle w:val="NormalWeb"/>
        <w:jc w:val="both"/>
        <w:rPr>
          <w:rFonts w:ascii="Arial" w:hAnsi="Arial" w:cs="Arial"/>
          <w:sz w:val="28"/>
          <w:szCs w:val="28"/>
        </w:rPr>
      </w:pPr>
      <w:r w:rsidRPr="00702919">
        <w:rPr>
          <w:rFonts w:ascii="Arial" w:hAnsi="Arial" w:cs="Arial"/>
          <w:sz w:val="28"/>
          <w:szCs w:val="28"/>
        </w:rPr>
        <w:t>O Plano Diretor municipal é lei que orienta o desenvolvimento urbano da cidade, definindo instrumentos, diretrizes e os órgãos responsáveis. A ativação do Conselho de Desenvolvimento Urbano está prevista nele, portanto é obrigação do município implementar o que este instrumento determina.</w:t>
      </w:r>
    </w:p>
    <w:p w14:paraId="3A887B09" w14:textId="77777777" w:rsidR="00702919" w:rsidRPr="00702919" w:rsidRDefault="00702919" w:rsidP="00702919">
      <w:pPr>
        <w:pStyle w:val="NormalWeb"/>
        <w:jc w:val="both"/>
        <w:rPr>
          <w:rFonts w:ascii="Arial" w:hAnsi="Arial" w:cs="Arial"/>
          <w:sz w:val="28"/>
          <w:szCs w:val="28"/>
        </w:rPr>
      </w:pPr>
      <w:r w:rsidRPr="00702919">
        <w:rPr>
          <w:rFonts w:ascii="Arial" w:hAnsi="Arial" w:cs="Arial"/>
          <w:sz w:val="28"/>
          <w:szCs w:val="28"/>
        </w:rPr>
        <w:tab/>
        <w:t>2.</w:t>
      </w:r>
      <w:r w:rsidRPr="00702919">
        <w:rPr>
          <w:rFonts w:ascii="Arial" w:hAnsi="Arial" w:cs="Arial"/>
          <w:sz w:val="28"/>
          <w:szCs w:val="28"/>
        </w:rPr>
        <w:tab/>
        <w:t>Participação democrática e legitimidade</w:t>
      </w:r>
    </w:p>
    <w:p w14:paraId="20E4CBA2" w14:textId="77777777" w:rsidR="00702919" w:rsidRPr="00702919" w:rsidRDefault="00702919" w:rsidP="00702919">
      <w:pPr>
        <w:pStyle w:val="NormalWeb"/>
        <w:jc w:val="both"/>
        <w:rPr>
          <w:rFonts w:ascii="Arial" w:hAnsi="Arial" w:cs="Arial"/>
          <w:sz w:val="28"/>
          <w:szCs w:val="28"/>
        </w:rPr>
      </w:pPr>
      <w:r w:rsidRPr="00702919">
        <w:rPr>
          <w:rFonts w:ascii="Arial" w:hAnsi="Arial" w:cs="Arial"/>
          <w:sz w:val="28"/>
          <w:szCs w:val="28"/>
        </w:rPr>
        <w:t>Um Conselho de Desenvolvimento Urbano ativo permite a participação da sociedade civil, de especialistas, de movimentos sociais, de associações de bairros, entre outros, nas decisões que afetam diretamente o uso do espaço urbano, o meio ambiente, transporte, habitação, infraestrutura. Isso aumenta a transparência, a legitimidade das decisões e reduz conflitos.</w:t>
      </w:r>
    </w:p>
    <w:p w14:paraId="0464DBA6" w14:textId="77777777" w:rsidR="00702919" w:rsidRPr="00702919" w:rsidRDefault="00702919" w:rsidP="00702919">
      <w:pPr>
        <w:pStyle w:val="NormalWeb"/>
        <w:jc w:val="both"/>
        <w:rPr>
          <w:rFonts w:ascii="Arial" w:hAnsi="Arial" w:cs="Arial"/>
          <w:sz w:val="28"/>
          <w:szCs w:val="28"/>
        </w:rPr>
      </w:pPr>
      <w:r w:rsidRPr="00702919">
        <w:rPr>
          <w:rFonts w:ascii="Arial" w:hAnsi="Arial" w:cs="Arial"/>
          <w:sz w:val="28"/>
          <w:szCs w:val="28"/>
        </w:rPr>
        <w:tab/>
        <w:t>3.</w:t>
      </w:r>
      <w:r w:rsidRPr="00702919">
        <w:rPr>
          <w:rFonts w:ascii="Arial" w:hAnsi="Arial" w:cs="Arial"/>
          <w:sz w:val="28"/>
          <w:szCs w:val="28"/>
        </w:rPr>
        <w:tab/>
        <w:t>Melhor planejamento e coordenação</w:t>
      </w:r>
    </w:p>
    <w:p w14:paraId="2C4B21F5" w14:textId="77777777" w:rsidR="00702919" w:rsidRPr="00702919" w:rsidRDefault="00702919" w:rsidP="00702919">
      <w:pPr>
        <w:pStyle w:val="NormalWeb"/>
        <w:jc w:val="both"/>
        <w:rPr>
          <w:rFonts w:ascii="Arial" w:hAnsi="Arial" w:cs="Arial"/>
          <w:sz w:val="28"/>
          <w:szCs w:val="28"/>
        </w:rPr>
      </w:pPr>
      <w:r w:rsidRPr="00702919">
        <w:rPr>
          <w:rFonts w:ascii="Arial" w:hAnsi="Arial" w:cs="Arial"/>
          <w:sz w:val="28"/>
          <w:szCs w:val="28"/>
        </w:rPr>
        <w:t>Com o conselho funcionando, haverá espaço institucional para monitoramento, avaliação e ajustes nas políticas urbanas. Isso evita que intervenções sejam feitas de forma fragmentada ou sem articulação entre os diversos órgãos municipais, além de garantir que o Plano Diretor não seja apenas um texto, mas um guia ativo para priorização de obras, zoneamento, licenciamento, moradia, mobilidade, verde urbano, etc.</w:t>
      </w:r>
    </w:p>
    <w:p w14:paraId="596285C0" w14:textId="77777777" w:rsidR="00702919" w:rsidRPr="00702919" w:rsidRDefault="00702919" w:rsidP="00702919">
      <w:pPr>
        <w:pStyle w:val="NormalWeb"/>
        <w:jc w:val="both"/>
        <w:rPr>
          <w:rFonts w:ascii="Arial" w:hAnsi="Arial" w:cs="Arial"/>
          <w:sz w:val="28"/>
          <w:szCs w:val="28"/>
        </w:rPr>
      </w:pPr>
      <w:r w:rsidRPr="00702919">
        <w:rPr>
          <w:rFonts w:ascii="Arial" w:hAnsi="Arial" w:cs="Arial"/>
          <w:sz w:val="28"/>
          <w:szCs w:val="28"/>
        </w:rPr>
        <w:tab/>
        <w:t>4.</w:t>
      </w:r>
      <w:r w:rsidRPr="00702919">
        <w:rPr>
          <w:rFonts w:ascii="Arial" w:hAnsi="Arial" w:cs="Arial"/>
          <w:sz w:val="28"/>
          <w:szCs w:val="28"/>
        </w:rPr>
        <w:tab/>
        <w:t>Benefício para as finanças públicas</w:t>
      </w:r>
    </w:p>
    <w:p w14:paraId="33B1F71C" w14:textId="77777777" w:rsidR="00702919" w:rsidRPr="00702919" w:rsidRDefault="00702919" w:rsidP="00702919">
      <w:pPr>
        <w:pStyle w:val="NormalWeb"/>
        <w:jc w:val="both"/>
        <w:rPr>
          <w:rFonts w:ascii="Arial" w:hAnsi="Arial" w:cs="Arial"/>
          <w:sz w:val="28"/>
          <w:szCs w:val="28"/>
        </w:rPr>
      </w:pPr>
      <w:r w:rsidRPr="00702919">
        <w:rPr>
          <w:rFonts w:ascii="Arial" w:hAnsi="Arial" w:cs="Arial"/>
          <w:sz w:val="28"/>
          <w:szCs w:val="28"/>
        </w:rPr>
        <w:t>A participação do conselho pode ajudar a identificar melhores caminhos para alocar recursos públicos, evitar desperdícios, aumentar a eficiência nas obras públicas, priorizar intervenções que trazem maior retorno social. Além disso, a existência de um órgão deliberativo ou consultivo sobre desenvolvimento reduz riscos jurídicos e de impasses com a sociedade civil que geram custos.</w:t>
      </w:r>
    </w:p>
    <w:p w14:paraId="4D61B747" w14:textId="77777777" w:rsidR="00702919" w:rsidRPr="00702919" w:rsidRDefault="00702919" w:rsidP="00702919">
      <w:pPr>
        <w:pStyle w:val="NormalWeb"/>
        <w:jc w:val="both"/>
        <w:rPr>
          <w:rFonts w:ascii="Arial" w:hAnsi="Arial" w:cs="Arial"/>
          <w:sz w:val="28"/>
          <w:szCs w:val="28"/>
        </w:rPr>
      </w:pPr>
      <w:r w:rsidRPr="00702919">
        <w:rPr>
          <w:rFonts w:ascii="Arial" w:hAnsi="Arial" w:cs="Arial"/>
          <w:sz w:val="28"/>
          <w:szCs w:val="28"/>
        </w:rPr>
        <w:tab/>
        <w:t>5.</w:t>
      </w:r>
      <w:r w:rsidRPr="00702919">
        <w:rPr>
          <w:rFonts w:ascii="Arial" w:hAnsi="Arial" w:cs="Arial"/>
          <w:sz w:val="28"/>
          <w:szCs w:val="28"/>
        </w:rPr>
        <w:tab/>
        <w:t>Respeito aos princípios do Estatuto da Cidade</w:t>
      </w:r>
    </w:p>
    <w:p w14:paraId="38C0EAEC" w14:textId="77777777" w:rsidR="00702919" w:rsidRPr="00702919" w:rsidRDefault="00702919" w:rsidP="00702919">
      <w:pPr>
        <w:pStyle w:val="NormalWeb"/>
        <w:jc w:val="both"/>
        <w:rPr>
          <w:rFonts w:ascii="Arial" w:hAnsi="Arial" w:cs="Arial"/>
          <w:sz w:val="28"/>
          <w:szCs w:val="28"/>
        </w:rPr>
      </w:pPr>
      <w:r w:rsidRPr="00702919">
        <w:rPr>
          <w:rFonts w:ascii="Arial" w:hAnsi="Arial" w:cs="Arial"/>
          <w:sz w:val="28"/>
          <w:szCs w:val="28"/>
        </w:rPr>
        <w:lastRenderedPageBreak/>
        <w:t>O Estatuto da Cidade (Lei Federal 10.257/2001) define princípios como função social da propriedade, desenvolvimento sustentável, planejamento democrático e direito à cidade. A ativação desse conselho está alinhada a esses princípios, reforçando o compromisso municipal com uma gestão urbana mais justa, ambientalmente equilibrada e inclusiva.</w:t>
      </w:r>
    </w:p>
    <w:p w14:paraId="5C012830" w14:textId="77777777" w:rsidR="00702919" w:rsidRPr="00702919" w:rsidRDefault="00702919" w:rsidP="00702919">
      <w:pPr>
        <w:pStyle w:val="NormalWeb"/>
        <w:jc w:val="both"/>
        <w:rPr>
          <w:rFonts w:ascii="Arial" w:hAnsi="Arial" w:cs="Arial"/>
          <w:sz w:val="28"/>
          <w:szCs w:val="28"/>
        </w:rPr>
      </w:pPr>
      <w:r w:rsidRPr="00702919">
        <w:rPr>
          <w:rFonts w:ascii="Arial" w:hAnsi="Arial" w:cs="Arial"/>
          <w:sz w:val="28"/>
          <w:szCs w:val="28"/>
        </w:rPr>
        <w:tab/>
        <w:t>6.</w:t>
      </w:r>
      <w:r w:rsidRPr="00702919">
        <w:rPr>
          <w:rFonts w:ascii="Arial" w:hAnsi="Arial" w:cs="Arial"/>
          <w:sz w:val="28"/>
          <w:szCs w:val="28"/>
        </w:rPr>
        <w:tab/>
        <w:t>Monitoramento das metas e revisões necessárias</w:t>
      </w:r>
    </w:p>
    <w:p w14:paraId="336FAC14" w14:textId="77777777" w:rsidR="00702919" w:rsidRPr="00702919" w:rsidRDefault="00702919" w:rsidP="00702919">
      <w:pPr>
        <w:pStyle w:val="NormalWeb"/>
        <w:jc w:val="both"/>
        <w:rPr>
          <w:rFonts w:ascii="Arial" w:hAnsi="Arial" w:cs="Arial"/>
          <w:sz w:val="28"/>
          <w:szCs w:val="28"/>
        </w:rPr>
      </w:pPr>
      <w:r w:rsidRPr="00702919">
        <w:rPr>
          <w:rFonts w:ascii="Arial" w:hAnsi="Arial" w:cs="Arial"/>
          <w:sz w:val="28"/>
          <w:szCs w:val="28"/>
        </w:rPr>
        <w:t xml:space="preserve">O Plano Diretor deve ser revisitado periodicamente, observando o que foi efetivo, o que precisa de correção. O Conselho pode atuar nesse papel de vigilância, propondo revisões, acompanhando indicadores, garantindo que metas sejam alcançadas, que os instrumentos previstos (zoneamento, uso do solo, outorga, estímulos/incentivos, </w:t>
      </w:r>
      <w:proofErr w:type="spellStart"/>
      <w:r w:rsidRPr="00702919">
        <w:rPr>
          <w:rFonts w:ascii="Arial" w:hAnsi="Arial" w:cs="Arial"/>
          <w:sz w:val="28"/>
          <w:szCs w:val="28"/>
        </w:rPr>
        <w:t>etc</w:t>
      </w:r>
      <w:proofErr w:type="spellEnd"/>
      <w:r w:rsidRPr="00702919">
        <w:rPr>
          <w:rFonts w:ascii="Arial" w:hAnsi="Arial" w:cs="Arial"/>
          <w:sz w:val="28"/>
          <w:szCs w:val="28"/>
        </w:rPr>
        <w:t>) sejam aplicados.</w:t>
      </w:r>
    </w:p>
    <w:p w14:paraId="5E2951A8" w14:textId="77777777" w:rsidR="00702919" w:rsidRPr="00702919" w:rsidRDefault="00702919" w:rsidP="00702919">
      <w:pPr>
        <w:pStyle w:val="NormalWeb"/>
        <w:jc w:val="both"/>
        <w:rPr>
          <w:rFonts w:ascii="Arial" w:hAnsi="Arial" w:cs="Arial"/>
          <w:sz w:val="28"/>
          <w:szCs w:val="28"/>
        </w:rPr>
      </w:pPr>
      <w:r w:rsidRPr="00702919">
        <w:rPr>
          <w:rFonts w:ascii="Arial" w:hAnsi="Arial" w:cs="Arial"/>
          <w:sz w:val="28"/>
          <w:szCs w:val="28"/>
        </w:rPr>
        <w:tab/>
        <w:t>7.</w:t>
      </w:r>
      <w:r w:rsidRPr="00702919">
        <w:rPr>
          <w:rFonts w:ascii="Arial" w:hAnsi="Arial" w:cs="Arial"/>
          <w:sz w:val="28"/>
          <w:szCs w:val="28"/>
        </w:rPr>
        <w:tab/>
        <w:t>Redução de conflitos e intervenções reativas</w:t>
      </w:r>
    </w:p>
    <w:p w14:paraId="46E93A72" w14:textId="490393E0" w:rsidR="00477EAB" w:rsidRPr="00A946AE" w:rsidRDefault="00702919" w:rsidP="00702919">
      <w:pPr>
        <w:pStyle w:val="NormalWeb"/>
        <w:jc w:val="both"/>
        <w:rPr>
          <w:rFonts w:ascii="Arial" w:hAnsi="Arial" w:cs="Arial"/>
          <w:sz w:val="28"/>
          <w:szCs w:val="28"/>
        </w:rPr>
      </w:pPr>
      <w:r w:rsidRPr="00702919">
        <w:rPr>
          <w:rFonts w:ascii="Arial" w:hAnsi="Arial" w:cs="Arial"/>
          <w:sz w:val="28"/>
          <w:szCs w:val="28"/>
        </w:rPr>
        <w:t>Ao ter um fórum de diálogo institucionalizado, previne-se que decisões urbanísticas sejam contestadas, que intervenções aconteçam de forma reativa (após reclamações, judicialização), gerando atrasos, incertezas. Um conselho ativo ajuda a antever problemas, construir consenso, com debates prévios.</w:t>
      </w:r>
      <w:r>
        <w:rPr>
          <w:rFonts w:ascii="Arial" w:hAnsi="Arial" w:cs="Arial"/>
          <w:sz w:val="28"/>
          <w:szCs w:val="28"/>
        </w:rPr>
        <w:t xml:space="preserve"> </w:t>
      </w:r>
    </w:p>
    <w:p w14:paraId="676097D7" w14:textId="77777777" w:rsidR="00477EAB" w:rsidRDefault="00477EAB" w:rsidP="00477EAB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21A52380" w14:textId="77777777" w:rsidR="00A63796" w:rsidRDefault="00A63796"/>
    <w:sectPr w:rsidR="00A63796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0B22D" w14:textId="77777777" w:rsidR="009D261C" w:rsidRDefault="009D261C" w:rsidP="00477EAB">
      <w:pPr>
        <w:spacing w:after="0" w:line="240" w:lineRule="auto"/>
      </w:pPr>
      <w:r>
        <w:separator/>
      </w:r>
    </w:p>
  </w:endnote>
  <w:endnote w:type="continuationSeparator" w:id="0">
    <w:p w14:paraId="14A1F2A7" w14:textId="77777777" w:rsidR="009D261C" w:rsidRDefault="009D261C" w:rsidP="00477E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66D5E" w14:textId="73D09B51" w:rsidR="009C5F7C" w:rsidRDefault="009C5F7C" w:rsidP="009C5F7C">
    <w:pPr>
      <w:pStyle w:val="Rodap"/>
      <w:ind w:left="-1701"/>
    </w:pPr>
    <w:r>
      <w:rPr>
        <w:noProof/>
      </w:rPr>
      <w:drawing>
        <wp:inline distT="0" distB="0" distL="0" distR="0" wp14:anchorId="4527E916" wp14:editId="46640DF9">
          <wp:extent cx="7572375" cy="475615"/>
          <wp:effectExtent l="0" t="0" r="9525" b="63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475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02A88A" w14:textId="77777777" w:rsidR="009D261C" w:rsidRDefault="009D261C" w:rsidP="00477EAB">
      <w:pPr>
        <w:spacing w:after="0" w:line="240" w:lineRule="auto"/>
      </w:pPr>
      <w:r>
        <w:separator/>
      </w:r>
    </w:p>
  </w:footnote>
  <w:footnote w:type="continuationSeparator" w:id="0">
    <w:p w14:paraId="21EA7EC6" w14:textId="77777777" w:rsidR="009D261C" w:rsidRDefault="009D261C" w:rsidP="00477E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A6C64" w14:textId="4B21F84D" w:rsidR="00477EAB" w:rsidRDefault="00477EAB">
    <w:pPr>
      <w:pStyle w:val="Cabealho"/>
    </w:pPr>
    <w:r>
      <w:rPr>
        <w:noProof/>
      </w:rPr>
      <w:drawing>
        <wp:inline distT="0" distB="0" distL="0" distR="0" wp14:anchorId="4D08CED3" wp14:editId="146A3FE5">
          <wp:extent cx="3328670" cy="1286510"/>
          <wp:effectExtent l="0" t="0" r="5080" b="889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28670" cy="1286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EAB"/>
    <w:rsid w:val="001D6302"/>
    <w:rsid w:val="00315AC8"/>
    <w:rsid w:val="00477EAB"/>
    <w:rsid w:val="00702919"/>
    <w:rsid w:val="009C5F7C"/>
    <w:rsid w:val="009D261C"/>
    <w:rsid w:val="00A63796"/>
    <w:rsid w:val="00A946AE"/>
    <w:rsid w:val="2A482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8BCE62B"/>
  <w15:chartTrackingRefBased/>
  <w15:docId w15:val="{A7625945-C395-4A9E-8566-CE0B2C07A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7EAB"/>
    <w:pPr>
      <w:spacing w:after="200" w:line="276" w:lineRule="auto"/>
    </w:pPr>
    <w:rPr>
      <w:rFonts w:ascii="Calibri" w:eastAsia="Calibri" w:hAnsi="Calibri" w:cs="Ubuntu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477EAB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477E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77EAB"/>
    <w:rPr>
      <w:rFonts w:ascii="Calibri" w:eastAsia="Calibri" w:hAnsi="Calibri" w:cs="Ubuntu"/>
    </w:rPr>
  </w:style>
  <w:style w:type="paragraph" w:styleId="Rodap">
    <w:name w:val="footer"/>
    <w:basedOn w:val="Normal"/>
    <w:link w:val="RodapChar"/>
    <w:uiPriority w:val="99"/>
    <w:unhideWhenUsed/>
    <w:rsid w:val="00477E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77EAB"/>
    <w:rPr>
      <w:rFonts w:ascii="Calibri" w:eastAsia="Calibri" w:hAnsi="Calibri" w:cs="Ubuntu"/>
    </w:rPr>
  </w:style>
  <w:style w:type="paragraph" w:styleId="NormalWeb">
    <w:name w:val="Normal (Web)"/>
    <w:basedOn w:val="Normal"/>
    <w:uiPriority w:val="99"/>
    <w:semiHidden/>
    <w:unhideWhenUsed/>
    <w:rsid w:val="00477E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76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554</Words>
  <Characters>2997</Characters>
  <Application>Microsoft Office Word</Application>
  <DocSecurity>0</DocSecurity>
  <Lines>24</Lines>
  <Paragraphs>7</Paragraphs>
  <ScaleCrop>false</ScaleCrop>
  <Company/>
  <LinksUpToDate>false</LinksUpToDate>
  <CharactersWithSpaces>3544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Katiany Dias</dc:creator>
  <cp:keywords/>
  <dc:description/>
  <cp:lastModifiedBy>Planejamento01</cp:lastModifiedBy>
  <cp:revision>2</cp:revision>
  <dcterms:created xsi:type="dcterms:W3CDTF">2025-09-30T13:56:00Z</dcterms:created>
  <dcterms:modified xsi:type="dcterms:W3CDTF">2025-09-30T13:56:00Z</dcterms:modified>
</cp:coreProperties>
</file>