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D339C" w14:textId="77777777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PARECER DA COMISSÃO DE JUSTIÇA E REDAÇÃO</w:t>
      </w:r>
    </w:p>
    <w:p w14:paraId="6281A75C" w14:textId="77777777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Projeto de Lei nº 111/2025</w:t>
      </w:r>
    </w:p>
    <w:p w14:paraId="4581429F" w14:textId="3AB760EC" w:rsidR="00EF5EE5" w:rsidRPr="00EF5EE5" w:rsidRDefault="00EF5EE5" w:rsidP="00EF5EE5">
      <w:pPr>
        <w:rPr>
          <w:rFonts w:ascii="Arial" w:hAnsi="Arial" w:cs="Arial"/>
        </w:rPr>
      </w:pPr>
      <w:r w:rsidRPr="00EF5EE5">
        <w:rPr>
          <w:rFonts w:ascii="Arial" w:hAnsi="Arial" w:cs="Arial"/>
          <w:b/>
          <w:bCs/>
        </w:rPr>
        <w:t>Parecer 127/2025</w:t>
      </w:r>
    </w:p>
    <w:p w14:paraId="22FE5D66" w14:textId="77777777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  <w:b/>
          <w:bCs/>
        </w:rPr>
        <w:t>EMENTA</w:t>
      </w:r>
      <w:r w:rsidRPr="00EF5EE5">
        <w:rPr>
          <w:rFonts w:ascii="Arial" w:hAnsi="Arial" w:cs="Arial"/>
        </w:rPr>
        <w:br/>
        <w:t>Acrescenta dispositivos nos Incisos XV e XVI do Art. 2º da Lei nº 1.807/2007, de 20 de março de 2007, que “Cria o Conselho Municipal Urbano e do Meio Ambiente – COMURB, e dá outras providências”.</w:t>
      </w:r>
    </w:p>
    <w:p w14:paraId="1351D7E4" w14:textId="0D01505B" w:rsidR="00EF5EE5" w:rsidRPr="00EF5EE5" w:rsidRDefault="00EF5EE5" w:rsidP="00EF5EE5">
      <w:pPr>
        <w:rPr>
          <w:rFonts w:ascii="Arial" w:hAnsi="Arial" w:cs="Arial"/>
        </w:rPr>
      </w:pPr>
    </w:p>
    <w:p w14:paraId="7C75C152" w14:textId="77777777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RELATÓRIO</w:t>
      </w:r>
    </w:p>
    <w:p w14:paraId="4C86656B" w14:textId="77777777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</w:rPr>
        <w:t>O Projeto de Lei nº 111/2025 tem como finalidade adequar e ampliar as competências do Conselho Municipal de Urbanismo, Meio Ambiente e Saneamento Básico (COMURB), em consonância com exigências legais e os princípios da gestão democrática e participativa das políticas públicas.</w:t>
      </w:r>
    </w:p>
    <w:p w14:paraId="5AED92CF" w14:textId="77777777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</w:rPr>
        <w:t>A proposta fundamenta-se, inclusive, na Resolução nº 34/2023 da AGEPAR, que atribui ao COMURB a definição de prioridades, diretrizes e mecanismos de acompanhamento, fiscalização e controle do Fundo Municipal de Urbanismo, Meio Ambiente e Saneamento Básico, assegurando maior transparência e efetividade na aplicação de recursos vinculados às áreas mencionadas.</w:t>
      </w:r>
    </w:p>
    <w:p w14:paraId="67260057" w14:textId="4A804062" w:rsidR="00EF5EE5" w:rsidRPr="00EF5EE5" w:rsidRDefault="00EF5EE5" w:rsidP="00EF5EE5">
      <w:pPr>
        <w:rPr>
          <w:rFonts w:ascii="Arial" w:hAnsi="Arial" w:cs="Arial"/>
        </w:rPr>
      </w:pPr>
    </w:p>
    <w:p w14:paraId="37E7EE16" w14:textId="77777777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MÉRITO</w:t>
      </w:r>
    </w:p>
    <w:p w14:paraId="57A58BB8" w14:textId="77777777" w:rsidR="00EF5EE5" w:rsidRPr="00EF5EE5" w:rsidRDefault="00EF5EE5" w:rsidP="00EF5EE5">
      <w:pPr>
        <w:rPr>
          <w:rFonts w:ascii="Arial" w:hAnsi="Arial" w:cs="Arial"/>
        </w:rPr>
      </w:pPr>
      <w:r w:rsidRPr="00EF5EE5">
        <w:rPr>
          <w:rFonts w:ascii="Arial" w:hAnsi="Arial" w:cs="Arial"/>
        </w:rPr>
        <w:t>O projeto atende ao interesse público ao reforçar:</w:t>
      </w:r>
    </w:p>
    <w:p w14:paraId="04EE07DC" w14:textId="77777777" w:rsidR="00EF5EE5" w:rsidRPr="00EF5EE5" w:rsidRDefault="00EF5EE5" w:rsidP="00EF5EE5">
      <w:pPr>
        <w:numPr>
          <w:ilvl w:val="0"/>
          <w:numId w:val="2"/>
        </w:numPr>
        <w:rPr>
          <w:rFonts w:ascii="Arial" w:hAnsi="Arial" w:cs="Arial"/>
        </w:rPr>
      </w:pPr>
      <w:r w:rsidRPr="00EF5EE5">
        <w:rPr>
          <w:rFonts w:ascii="Arial" w:hAnsi="Arial" w:cs="Arial"/>
        </w:rPr>
        <w:t>a participação da sociedade civil, especialmente de representantes ligados ao setor de saneamento básico;</w:t>
      </w:r>
    </w:p>
    <w:p w14:paraId="3AB0399F" w14:textId="77777777" w:rsidR="00EF5EE5" w:rsidRPr="00EF5EE5" w:rsidRDefault="00EF5EE5" w:rsidP="00EF5EE5">
      <w:pPr>
        <w:numPr>
          <w:ilvl w:val="0"/>
          <w:numId w:val="2"/>
        </w:numPr>
        <w:rPr>
          <w:rFonts w:ascii="Arial" w:hAnsi="Arial" w:cs="Arial"/>
        </w:rPr>
      </w:pPr>
      <w:r w:rsidRPr="00EF5EE5">
        <w:rPr>
          <w:rFonts w:ascii="Arial" w:hAnsi="Arial" w:cs="Arial"/>
        </w:rPr>
        <w:t>a função deliberativa e fiscalizatória do Conselho;</w:t>
      </w:r>
    </w:p>
    <w:p w14:paraId="159F532B" w14:textId="77777777" w:rsidR="00EF5EE5" w:rsidRPr="00EF5EE5" w:rsidRDefault="00EF5EE5" w:rsidP="00EF5EE5">
      <w:pPr>
        <w:numPr>
          <w:ilvl w:val="0"/>
          <w:numId w:val="2"/>
        </w:numPr>
        <w:rPr>
          <w:rFonts w:ascii="Arial" w:hAnsi="Arial" w:cs="Arial"/>
        </w:rPr>
      </w:pPr>
      <w:r w:rsidRPr="00EF5EE5">
        <w:rPr>
          <w:rFonts w:ascii="Arial" w:hAnsi="Arial" w:cs="Arial"/>
        </w:rPr>
        <w:t>a efetividade do controle social na aplicação de recursos públicos.</w:t>
      </w:r>
    </w:p>
    <w:p w14:paraId="7683DB72" w14:textId="77777777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</w:rPr>
        <w:t xml:space="preserve">Sob o aspecto </w:t>
      </w:r>
      <w:r w:rsidRPr="00EF5EE5">
        <w:rPr>
          <w:rFonts w:ascii="Arial" w:hAnsi="Arial" w:cs="Arial"/>
          <w:b/>
          <w:bCs/>
        </w:rPr>
        <w:t>constitucional</w:t>
      </w:r>
      <w:r w:rsidRPr="00EF5EE5">
        <w:rPr>
          <w:rFonts w:ascii="Arial" w:hAnsi="Arial" w:cs="Arial"/>
        </w:rPr>
        <w:t>, a iniciativa não apresenta vício, tratando-se de matéria de interesse local e compatível com a competência legislativa do Município (art. 30, I e II, da CF).</w:t>
      </w:r>
    </w:p>
    <w:p w14:paraId="22ECC4D5" w14:textId="77777777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</w:rPr>
        <w:lastRenderedPageBreak/>
        <w:t xml:space="preserve">Quanto à </w:t>
      </w:r>
      <w:r w:rsidRPr="00EF5EE5">
        <w:rPr>
          <w:rFonts w:ascii="Arial" w:hAnsi="Arial" w:cs="Arial"/>
          <w:b/>
          <w:bCs/>
        </w:rPr>
        <w:t>legalidade e juridicidade</w:t>
      </w:r>
      <w:r w:rsidRPr="00EF5EE5">
        <w:rPr>
          <w:rFonts w:ascii="Arial" w:hAnsi="Arial" w:cs="Arial"/>
        </w:rPr>
        <w:t>, a proposição harmoniza-se com a legislação federal e estadual pertinente ao meio ambiente e ao saneamento básico, não havendo incompatibilidade normativa.</w:t>
      </w:r>
    </w:p>
    <w:p w14:paraId="1C465A43" w14:textId="7047F039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</w:rPr>
        <w:t xml:space="preserve">No tocante à </w:t>
      </w:r>
      <w:r w:rsidRPr="00EF5EE5">
        <w:rPr>
          <w:rFonts w:ascii="Arial" w:hAnsi="Arial" w:cs="Arial"/>
          <w:b/>
          <w:bCs/>
        </w:rPr>
        <w:t>técnica legislativa</w:t>
      </w:r>
      <w:r w:rsidRPr="00EF5EE5">
        <w:rPr>
          <w:rFonts w:ascii="Arial" w:hAnsi="Arial" w:cs="Arial"/>
        </w:rPr>
        <w:t>, a redação observa os princípios de clareza e objetividade previstos na Lei Complementar nº 95/1998.</w:t>
      </w:r>
    </w:p>
    <w:p w14:paraId="5201744F" w14:textId="12D7BA8A" w:rsidR="00EF5EE5" w:rsidRPr="00EF5EE5" w:rsidRDefault="00EF5EE5" w:rsidP="00EF5EE5">
      <w:pPr>
        <w:rPr>
          <w:rFonts w:ascii="Arial" w:hAnsi="Arial" w:cs="Arial"/>
        </w:rPr>
      </w:pPr>
    </w:p>
    <w:p w14:paraId="1CD7EED7" w14:textId="77777777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CONCLUSÃO</w:t>
      </w:r>
    </w:p>
    <w:p w14:paraId="22F2766A" w14:textId="77777777" w:rsidR="00EF5EE5" w:rsidRPr="00EF5EE5" w:rsidRDefault="00EF5EE5" w:rsidP="00EF5EE5">
      <w:pPr>
        <w:jc w:val="both"/>
        <w:rPr>
          <w:rFonts w:ascii="Arial" w:hAnsi="Arial" w:cs="Arial"/>
        </w:rPr>
      </w:pPr>
      <w:r w:rsidRPr="00EF5EE5">
        <w:rPr>
          <w:rFonts w:ascii="Arial" w:hAnsi="Arial" w:cs="Arial"/>
        </w:rPr>
        <w:t xml:space="preserve">Diante do exposto, esta Comissão de Justiça e Redação opina </w:t>
      </w:r>
      <w:r w:rsidRPr="00EF5EE5">
        <w:rPr>
          <w:rFonts w:ascii="Arial" w:hAnsi="Arial" w:cs="Arial"/>
          <w:b/>
          <w:bCs/>
        </w:rPr>
        <w:t>pela constitucionalidade, legalidade, juridicidade e boa técnica legislativa do Projeto de Lei nº 111/2025</w:t>
      </w:r>
      <w:r w:rsidRPr="00EF5EE5">
        <w:rPr>
          <w:rFonts w:ascii="Arial" w:hAnsi="Arial" w:cs="Arial"/>
        </w:rPr>
        <w:t>, estando o mesmo apto a tramitar regularmente e ser submetido à deliberação do Plenário.</w:t>
      </w:r>
    </w:p>
    <w:p w14:paraId="4AB57ED9" w14:textId="791BEF1C" w:rsidR="00EF5EE5" w:rsidRPr="00EF5EE5" w:rsidRDefault="00EF5EE5" w:rsidP="00EF5EE5">
      <w:pPr>
        <w:rPr>
          <w:rFonts w:ascii="Arial" w:hAnsi="Arial" w:cs="Arial"/>
        </w:rPr>
      </w:pPr>
    </w:p>
    <w:p w14:paraId="2FD02978" w14:textId="11FC175C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 xml:space="preserve">Sala das Comissões, </w:t>
      </w:r>
      <w:r w:rsidRPr="00EF5EE5">
        <w:rPr>
          <w:rFonts w:ascii="Arial" w:hAnsi="Arial" w:cs="Arial"/>
          <w:b/>
          <w:bCs/>
        </w:rPr>
        <w:t>15 de setembro de 2025.</w:t>
      </w:r>
    </w:p>
    <w:p w14:paraId="400FCF8C" w14:textId="77777777" w:rsidR="00EF5EE5" w:rsidRPr="00EF5EE5" w:rsidRDefault="00EF5EE5" w:rsidP="00EF5EE5">
      <w:pPr>
        <w:rPr>
          <w:rFonts w:ascii="Arial" w:hAnsi="Arial" w:cs="Arial"/>
          <w:b/>
          <w:bCs/>
        </w:rPr>
      </w:pPr>
    </w:p>
    <w:p w14:paraId="66768091" w14:textId="21FBFDFD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CLAUDIO ALAIN GUTERRES DO CARMO</w:t>
      </w:r>
    </w:p>
    <w:p w14:paraId="7F6BC7B9" w14:textId="212F23F9" w:rsidR="00EF5EE5" w:rsidRPr="00EF5EE5" w:rsidRDefault="00EF5EE5" w:rsidP="00EF5EE5">
      <w:pPr>
        <w:rPr>
          <w:rFonts w:ascii="Arial" w:hAnsi="Arial" w:cs="Arial"/>
        </w:rPr>
      </w:pPr>
      <w:r w:rsidRPr="00EF5EE5">
        <w:rPr>
          <w:rFonts w:ascii="Arial" w:hAnsi="Arial" w:cs="Arial"/>
        </w:rPr>
        <w:t xml:space="preserve">Presidente </w:t>
      </w:r>
    </w:p>
    <w:p w14:paraId="630E58D2" w14:textId="77777777" w:rsidR="00EF5EE5" w:rsidRPr="00EF5EE5" w:rsidRDefault="00EF5EE5" w:rsidP="00EF5EE5">
      <w:pPr>
        <w:rPr>
          <w:rFonts w:ascii="Arial" w:hAnsi="Arial" w:cs="Arial"/>
        </w:rPr>
      </w:pPr>
    </w:p>
    <w:p w14:paraId="1392A5AA" w14:textId="77777777" w:rsidR="00EF5EE5" w:rsidRPr="00EF5EE5" w:rsidRDefault="00EF5EE5" w:rsidP="00EF5EE5">
      <w:pPr>
        <w:rPr>
          <w:rFonts w:ascii="Arial" w:hAnsi="Arial" w:cs="Arial"/>
        </w:rPr>
      </w:pPr>
    </w:p>
    <w:p w14:paraId="5F85763E" w14:textId="0C7AF33D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CLAIRTON ANTONIO CAUDURO</w:t>
      </w:r>
    </w:p>
    <w:p w14:paraId="0FEDF961" w14:textId="42AB3C56" w:rsidR="00EF5EE5" w:rsidRPr="00EF5EE5" w:rsidRDefault="00EF5EE5" w:rsidP="00EF5EE5">
      <w:pPr>
        <w:rPr>
          <w:rFonts w:ascii="Arial" w:hAnsi="Arial" w:cs="Arial"/>
        </w:rPr>
      </w:pPr>
      <w:r w:rsidRPr="00EF5EE5">
        <w:rPr>
          <w:rFonts w:ascii="Arial" w:hAnsi="Arial" w:cs="Arial"/>
        </w:rPr>
        <w:t>Relator</w:t>
      </w:r>
    </w:p>
    <w:p w14:paraId="4BE84B4D" w14:textId="77777777" w:rsidR="00EF5EE5" w:rsidRPr="00EF5EE5" w:rsidRDefault="00EF5EE5" w:rsidP="00EF5EE5">
      <w:pPr>
        <w:rPr>
          <w:rFonts w:ascii="Arial" w:hAnsi="Arial" w:cs="Arial"/>
        </w:rPr>
      </w:pPr>
    </w:p>
    <w:p w14:paraId="2210F97E" w14:textId="77777777" w:rsidR="00EF5EE5" w:rsidRPr="00EF5EE5" w:rsidRDefault="00EF5EE5" w:rsidP="00EF5EE5">
      <w:pPr>
        <w:rPr>
          <w:rFonts w:ascii="Arial" w:hAnsi="Arial" w:cs="Arial"/>
        </w:rPr>
      </w:pPr>
    </w:p>
    <w:p w14:paraId="3573F84D" w14:textId="0E016DA9" w:rsidR="00EF5EE5" w:rsidRPr="00EF5EE5" w:rsidRDefault="00EF5EE5" w:rsidP="00EF5EE5">
      <w:pPr>
        <w:rPr>
          <w:rFonts w:ascii="Arial" w:hAnsi="Arial" w:cs="Arial"/>
          <w:b/>
          <w:bCs/>
        </w:rPr>
      </w:pPr>
      <w:r w:rsidRPr="00EF5EE5">
        <w:rPr>
          <w:rFonts w:ascii="Arial" w:hAnsi="Arial" w:cs="Arial"/>
          <w:b/>
          <w:bCs/>
        </w:rPr>
        <w:t>MICHELI ALVES DE LIMA</w:t>
      </w:r>
    </w:p>
    <w:p w14:paraId="7F56FEB4" w14:textId="35B8F7C0" w:rsidR="00EF5EE5" w:rsidRPr="00EF5EE5" w:rsidRDefault="00EF5EE5" w:rsidP="00EF5EE5">
      <w:pPr>
        <w:rPr>
          <w:rFonts w:ascii="Arial" w:hAnsi="Arial" w:cs="Arial"/>
        </w:rPr>
      </w:pPr>
      <w:r w:rsidRPr="00EF5EE5">
        <w:rPr>
          <w:rFonts w:ascii="Arial" w:hAnsi="Arial" w:cs="Arial"/>
        </w:rPr>
        <w:t>Secretária</w:t>
      </w:r>
    </w:p>
    <w:p w14:paraId="4C5F9921" w14:textId="77777777" w:rsidR="00EF5EE5" w:rsidRPr="00EF5EE5" w:rsidRDefault="00EF5EE5">
      <w:pPr>
        <w:rPr>
          <w:rFonts w:ascii="Arial" w:hAnsi="Arial" w:cs="Arial"/>
        </w:rPr>
      </w:pPr>
    </w:p>
    <w:sectPr w:rsidR="00EF5EE5" w:rsidRPr="00EF5EE5" w:rsidSect="00EF5EE5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9598F"/>
    <w:multiLevelType w:val="multilevel"/>
    <w:tmpl w:val="37704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B7346A9"/>
    <w:multiLevelType w:val="multilevel"/>
    <w:tmpl w:val="20689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00775615">
    <w:abstractNumId w:val="1"/>
  </w:num>
  <w:num w:numId="2" w16cid:durableId="511187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EE5"/>
    <w:rsid w:val="00EE708A"/>
    <w:rsid w:val="00EF5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DAD2F"/>
  <w15:chartTrackingRefBased/>
  <w15:docId w15:val="{6FC202A3-B765-4E65-92ED-9DDE4EA9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F5E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F5E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F5E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F5E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F5E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F5E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F5E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F5E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F5E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F5E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F5E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F5E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F5E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F5EE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F5E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F5E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F5E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F5E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EF5E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F5E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F5E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F5E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F5E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F5E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F5EE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F5EE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F5E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F5EE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F5EE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338</Words>
  <Characters>1826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2025-09-12T12:15:00Z</cp:lastPrinted>
  <dcterms:created xsi:type="dcterms:W3CDTF">2025-09-12T12:03:00Z</dcterms:created>
  <dcterms:modified xsi:type="dcterms:W3CDTF">2025-09-12T12:15:00Z</dcterms:modified>
</cp:coreProperties>
</file>