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drawing>
          <wp:anchor behindDoc="0" distT="0" distB="0" distL="133350" distR="123190" simplePos="0" locked="0" layoutInCell="1" allowOverlap="1" relativeHeight="2">
            <wp:simplePos x="0" y="0"/>
            <wp:positionH relativeFrom="column">
              <wp:posOffset>-15240</wp:posOffset>
            </wp:positionH>
            <wp:positionV relativeFrom="paragraph">
              <wp:posOffset>-147320</wp:posOffset>
            </wp:positionV>
            <wp:extent cx="1362075" cy="1362075"/>
            <wp:effectExtent l="0" t="0" r="0" b="0"/>
            <wp:wrapSquare wrapText="bothSides"/>
            <wp:docPr id="1" name="Imagem 0" descr="Brasã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ão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sz w:val="20"/>
          <w:szCs w:val="20"/>
        </w:rPr>
        <w:t>P</w:t>
      </w:r>
      <w:r>
        <w:rPr>
          <w:rFonts w:cs="Times New Roman" w:ascii="Times New Roman" w:hAnsi="Times New Roman"/>
          <w:b/>
          <w:sz w:val="20"/>
          <w:szCs w:val="20"/>
        </w:rPr>
        <w:t>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*Republicada por incorreção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LEI Nº 5.207 de 28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ind w:left="2127" w:hanging="0"/>
        <w:rPr>
          <w:rFonts w:ascii="Times New Roman" w:hAnsi="Times New Roman" w:eastAsia="Bookman Old Style" w:cs="Times New Roman"/>
          <w:i/>
          <w:i/>
        </w:rPr>
      </w:pPr>
      <w:r>
        <w:rPr>
          <w:rFonts w:eastAsia="Bookman Old Style" w:cs="Times New Roman" w:ascii="Times New Roman" w:hAnsi="Times New Roman"/>
          <w:i/>
        </w:rPr>
        <w:t>Dispõe sobre abertura de crédito especial ao Orçamento vigente.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  <w:b/>
          <w:b/>
        </w:rPr>
      </w:pPr>
      <w:r>
        <w:rPr>
          <w:rFonts w:eastAsia="Bookman Old Style" w:cs="Times New Roman" w:ascii="Times New Roman" w:hAnsi="Times New Roman"/>
          <w:b/>
        </w:rPr>
      </w:r>
      <w:bookmarkStart w:id="0" w:name="_heading=h.gjdgxs"/>
      <w:bookmarkStart w:id="1" w:name="_heading=h.gjdgxs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  <w:b/>
          <w:b/>
        </w:rPr>
      </w:pPr>
      <w:r>
        <w:rPr>
          <w:rFonts w:eastAsia="Bookman Old Style" w:cs="Times New Roman" w:ascii="Times New Roman" w:hAnsi="Times New Roman"/>
          <w:b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  <w:b/>
          <w:b/>
        </w:rPr>
      </w:pPr>
      <w:r>
        <w:rPr>
          <w:rFonts w:eastAsia="Bookman Old Style" w:cs="Times New Roman" w:ascii="Times New Roman" w:hAnsi="Times New Roman"/>
          <w:b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  <w:b/>
        </w:rPr>
        <w:t>José Henriques</w:t>
      </w:r>
      <w:r>
        <w:rPr>
          <w:rFonts w:eastAsia="Bookman Old Style" w:cs="Times New Roman" w:ascii="Times New Roman" w:hAnsi="Times New Roman"/>
        </w:rPr>
        <w:t>, Prefeito de Cataguases, Estado de Minas Gerais, no uso das atribuições que lhe são conferidas pela Lei Orgânica do Município, encaminha o seguinte Projeto de Lei à apreciação dessa Casa Legislativa: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  <w:b/>
          <w:i/>
        </w:rPr>
        <w:t>Art.1º</w:t>
      </w:r>
      <w:r>
        <w:rPr>
          <w:rFonts w:eastAsia="Bookman Old Style" w:cs="Times New Roman" w:ascii="Times New Roman" w:hAnsi="Times New Roman"/>
          <w:i/>
        </w:rPr>
        <w:t xml:space="preserve"> -</w:t>
      </w:r>
      <w:r>
        <w:rPr>
          <w:rFonts w:eastAsia="Bookman Old Style" w:cs="Times New Roman" w:ascii="Times New Roman" w:hAnsi="Times New Roman"/>
        </w:rPr>
        <w:t xml:space="preserve"> Fica o Poder Executivo autorizado a abrir crédito especial ao Orçamento vigente, no valor de R$ 198.416,34 (cento e noventa e oito mil, quatrocentos e dezesseis reais e trinta e quatro centavos), destinado à criação de ações orçamentárias e inclusão de dotações, com a finalidade de adequação da execução das emendas impositivas aprovadas pelo Poder Legislativo para o exercício de 2026, conforme detalhamento constante do Anexo I desta Lei, acompanhado do demonstrativo de readequação constante do Anexo III.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  <w:b/>
          <w:i/>
        </w:rPr>
        <w:t>Art.2º</w:t>
      </w:r>
      <w:r>
        <w:rPr>
          <w:rFonts w:eastAsia="Bookman Old Style" w:cs="Times New Roman" w:ascii="Times New Roman" w:hAnsi="Times New Roman"/>
          <w:i/>
        </w:rPr>
        <w:t xml:space="preserve"> -</w:t>
      </w:r>
      <w:r>
        <w:rPr>
          <w:rFonts w:eastAsia="Bookman Old Style" w:cs="Times New Roman" w:ascii="Times New Roman" w:hAnsi="Times New Roman"/>
        </w:rPr>
        <w:t xml:space="preserve"> Ficam criadas, no Orçamento vigente, as ações orçamentárias necessárias à execução das despesas decorrentes deste crédito especial, vinculadas à adequação das emendas impositivas de que trata o art. 1º desta Lei.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850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  <w:b/>
          <w:bCs/>
          <w:i/>
        </w:rPr>
        <w:t>Art.3º -</w:t>
      </w:r>
      <w:r>
        <w:rPr>
          <w:rFonts w:eastAsia="Bookman Old Style" w:cs="Times New Roman" w:ascii="Times New Roman" w:hAnsi="Times New Roman"/>
        </w:rPr>
        <w:t xml:space="preserve"> Os recursos necessários à abertura do crédito especial de que trata esta Lei decorrem da anulação parcial de dotações orçamentárias, nos termos do art. 43, §1º, inciso III, da Lei Federal nº 4.320/64, conforme detalhamento constante do Anexo II desta Lei.</w:t>
      </w:r>
    </w:p>
    <w:p>
      <w:pPr>
        <w:pStyle w:val="Normal"/>
        <w:spacing w:lineRule="auto" w:line="240" w:before="0" w:after="0"/>
        <w:ind w:firstLine="847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850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  <w:b/>
          <w:bCs/>
        </w:rPr>
        <w:t>Art. 4º -</w:t>
      </w:r>
      <w:r>
        <w:rPr>
          <w:rFonts w:eastAsia="Bookman Old Style" w:cs="Times New Roman" w:ascii="Times New Roman" w:hAnsi="Times New Roman"/>
        </w:rPr>
        <w:t xml:space="preserve"> Esta Lei entra em vigor na data de sua publicação.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</w:rPr>
      </w:pPr>
      <w:r>
        <w:rPr>
          <w:rFonts w:eastAsia="Bookman Old Style"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Bookman Old Style" w:cs="Times New Roman"/>
        </w:rPr>
      </w:pPr>
      <w:r>
        <w:rPr>
          <w:rFonts w:cs="Times New Roman" w:ascii="Times New Roman" w:hAnsi="Times New Roman"/>
          <w:sz w:val="20"/>
          <w:szCs w:val="20"/>
        </w:rPr>
        <w:t>Gabinete do Prefeito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Cataguases, 28 de abril </w:t>
      </w:r>
      <w:bookmarkStart w:id="2" w:name="_GoBack"/>
      <w:bookmarkEnd w:id="2"/>
      <w:r>
        <w:rPr>
          <w:rFonts w:cs="Times New Roman" w:ascii="Times New Roman" w:hAnsi="Times New Roman"/>
          <w:sz w:val="20"/>
          <w:szCs w:val="20"/>
        </w:rPr>
        <w:t>de 2026.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cs="Times New Roman" w:ascii="Times New Roman" w:hAnsi="Times New Roman"/>
          <w:b/>
          <w:sz w:val="20"/>
          <w:szCs w:val="20"/>
        </w:rPr>
        <w:t>Prefeito</w:t>
      </w:r>
    </w:p>
    <w:p>
      <w:pPr>
        <w:pStyle w:val="Normal"/>
        <w:spacing w:lineRule="auto" w:line="240"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eastAsia="Bookman Old Style" w:cs="Arial" w:ascii="Arial" w:hAnsi="Arial"/>
          <w:b/>
          <w:u w:val="single"/>
        </w:rPr>
        <w:t>ANEXO I</w:t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</w:rPr>
        <w:t>Dotações Criadas (Destinação)</w:t>
      </w:r>
    </w:p>
    <w:tbl>
      <w:tblPr>
        <w:tblStyle w:val="Tabelacomgrade"/>
        <w:tblW w:w="947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08"/>
        <w:gridCol w:w="5653"/>
        <w:gridCol w:w="1114"/>
      </w:tblGrid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Funcional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Natureza da Despesa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Valor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02.08.10.122.0010.2.073.0305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3.3.90.30.00.00.00.00 - Material de Consumo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02.08.10.122.0010.2.073.0706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3.3.90.30.00.00.00.00 - Material de Consumo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50.000,00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02.11.13.392.0020.2121.1416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3.3.90.39.00.00.00.00 - Outros Serviços de Terceiros Pessoa Jurídica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1500.000.0000.900 - Recursos não vinculados de Impostos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23.500,00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02.08.10.122.0010.2.073.1008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3.3.90.30.00.00.00.00 - Material de Consumo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02.08.10.122.0010.2.073.1108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3.3.90.30.00.00.00.00 - Material de Consumo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65.916,34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02.08.10.122.0010.2.073.0121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3.3.90.30.00.00.00.00 - Material de Consumo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02.11.13.392.0020.2121.1521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3.3.90.39.00.00.00.00 - Outros Serviços de Terceiros Pessoa Jurídica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1500.000.0000.900 - Recursos não vinculados de Impostos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9.000,00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02.08.10.122.0010.2.073.1508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3.3.90.30.00.00.00.00 - Material de Consumo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10.000,00</w:t>
            </w:r>
          </w:p>
        </w:tc>
      </w:tr>
    </w:tbl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  <w:t>ANEXO II</w:t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</w:rPr>
      </w:pPr>
      <w:r>
        <w:rPr>
          <w:rFonts w:eastAsia="Bookman Old Style" w:cs="Arial" w:ascii="Arial" w:hAnsi="Arial"/>
          <w:b/>
        </w:rPr>
        <w:t>Dotações Anuladas (Origem)</w:t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</w:rPr>
      </w:pPr>
      <w:r>
        <w:rPr>
          <w:rFonts w:eastAsia="Bookman Old Style" w:cs="Arial" w:ascii="Arial" w:hAnsi="Arial"/>
          <w:b/>
        </w:rPr>
      </w:r>
    </w:p>
    <w:tbl>
      <w:tblPr>
        <w:tblStyle w:val="Tabelacomgrade"/>
        <w:tblW w:w="947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08"/>
        <w:gridCol w:w="5653"/>
        <w:gridCol w:w="1114"/>
      </w:tblGrid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Funcional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Natureza da Despesa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Valor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02.09.10.302.0012.2.084.0305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3.3.50.43.00.00.00.00 - Subvenções Sociais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02.09.10.302.0012.2.084.0706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3.3.50.43.00.00.00.00 - Subvenções Sociais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color w:val="FF0000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50.000,00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02.11.13.392.0020.2121.1402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3.3.50.43.00.00.00.00 - Subvenções Sociais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1500.000.0000.900 - Recursos não vinculados de Impostos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23.500,00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02.09.10.302.0012.2.084.1008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4.4.50.42.00.00.00.00 - Auxílios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02.09.10.302.0012.2.084.1108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3.3.50.43.00.00.00.00 - Subvenções Sociais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65.916,34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02.09.10.302.0012.2.084.0121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3.3.50.43.00.00.00.00 - Subvenções Sociais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20.000,00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02.11.13.391.0019.2119.1502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4.4.90.52.00.00.00.00 - Equipamentos e Material Permanente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1500.000.0000.900 - Recursos não vinculados de Impostos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9.000,00</w:t>
            </w:r>
          </w:p>
        </w:tc>
      </w:tr>
      <w:tr>
        <w:trPr/>
        <w:tc>
          <w:tcPr>
            <w:tcW w:w="2708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02.09.10.302.0012.2.084.1508</w:t>
            </w:r>
          </w:p>
        </w:tc>
        <w:tc>
          <w:tcPr>
            <w:tcW w:w="565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 xml:space="preserve">3.3.50.43.00.00.00.00 - Subvenções Sociais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1500.000.1002.902 - Recursos não vinculados de Impostos - Saúde</w:t>
            </w:r>
          </w:p>
        </w:tc>
        <w:tc>
          <w:tcPr>
            <w:tcW w:w="1114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10.000,00</w:t>
            </w:r>
          </w:p>
        </w:tc>
      </w:tr>
    </w:tbl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</w:rPr>
      </w:pPr>
      <w:r>
        <w:rPr>
          <w:rFonts w:eastAsia="Bookman Old Style" w:cs="Arial" w:ascii="Arial" w:hAnsi="Arial"/>
          <w:b/>
        </w:rPr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</w:rPr>
      </w:pPr>
      <w:r>
        <w:rPr>
          <w:rFonts w:eastAsia="Bookman Old Style" w:cs="Arial" w:ascii="Arial" w:hAnsi="Arial"/>
          <w:b/>
        </w:rPr>
        <w:t>ANEXO III</w:t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</w:rPr>
      </w:pPr>
      <w:r>
        <w:rPr>
          <w:rFonts w:eastAsia="Bookman Old Style" w:cs="Arial" w:ascii="Arial" w:hAnsi="Arial"/>
          <w:b/>
        </w:rPr>
        <w:t>Demonstrativo de Readequação das Emendas Impositivas (De-Para)</w:t>
      </w:r>
    </w:p>
    <w:p>
      <w:pPr>
        <w:pStyle w:val="Normal"/>
        <w:spacing w:before="0" w:after="0"/>
        <w:jc w:val="center"/>
        <w:rPr>
          <w:rFonts w:ascii="Arial" w:hAnsi="Arial" w:eastAsia="Bookman Old Style" w:cs="Arial"/>
          <w:b/>
          <w:b/>
          <w:u w:val="single"/>
        </w:rPr>
      </w:pPr>
      <w:r>
        <w:rPr>
          <w:rFonts w:eastAsia="Bookman Old Style" w:cs="Arial" w:ascii="Arial" w:hAnsi="Arial"/>
          <w:b/>
          <w:u w:val="single"/>
        </w:rPr>
      </w:r>
    </w:p>
    <w:tbl>
      <w:tblPr>
        <w:tblStyle w:val="Tabelacomgrade"/>
        <w:tblW w:w="947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10"/>
        <w:gridCol w:w="4233"/>
        <w:gridCol w:w="4232"/>
      </w:tblGrid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Emenda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Ação Original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18"/>
                <w:szCs w:val="20"/>
              </w:rPr>
            </w:pPr>
            <w:r>
              <w:rPr>
                <w:rFonts w:cs="Arial" w:ascii="Arial" w:hAnsi="Arial"/>
                <w:b/>
                <w:sz w:val="18"/>
                <w:szCs w:val="20"/>
              </w:rPr>
              <w:t>Nova Ação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028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2.084.0305 - EP03 - REPASSE LAR SÃO VICENTE DE PAULO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2.073.0305 - EP03 - AQUISIÇÃO MATERIAL DE CONSUMO SEC. SAÚDE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046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2.084.0706 - EP07 - REPASSE LAR SÃO VICENTE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2.073.0706 - EP07 - AQUISIÇÃO MATERIAL DE CONSUMO SEC. SAÚDE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102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2.121.1402 - EP14 - REPASSE ESPORTE CLUBE TAQUARA PRETA - CARNAVAL DA TAQUARA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2.121.1416 - EP14 - FOMENTO DE EVENTOS CULTURAIS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123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2.084.1008 - EP10 - REPASSE LAR SÃO VICENTE DE PAULO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2.073.1008 - EP10 - AQUISIÇÃO MATERIAL DE CONSUMO SEC. SAÚDE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145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2.084.1108 - EP11 - REPASSE LAR SÃO VICENTE DE PAULO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2.073.1108 - EP11 - AQUISIÇÃO MATERIAL DE CONSUMO SEC. SAÚDE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181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2.084.0121 - EP01 - REPASSE LAR SÃO VICENTE DE PAULO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2.073.0121 - EP01 - AQUISIÇÃO MATERIAL DE CONSUMO SEC. SAÚDE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197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2.119.1502 - EP15 - AQUISIÇÃO DE INSTRUMENTOS MUSICAIS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2.121.1521 - EP15 - FOMENTO DE EVENTOS CULTURAIS</w:t>
            </w:r>
          </w:p>
        </w:tc>
      </w:tr>
      <w:tr>
        <w:trPr/>
        <w:tc>
          <w:tcPr>
            <w:tcW w:w="1010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89" w:leader="none"/>
              </w:tabs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203</w:t>
            </w:r>
          </w:p>
        </w:tc>
        <w:tc>
          <w:tcPr>
            <w:tcW w:w="4233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2.084.1508 - EP15 - REPASSE LAR SÃO VICENTE DE PAULO</w:t>
            </w:r>
          </w:p>
        </w:tc>
        <w:tc>
          <w:tcPr>
            <w:tcW w:w="423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 w:ascii="Arial" w:hAnsi="Arial"/>
                <w:sz w:val="18"/>
                <w:szCs w:val="20"/>
              </w:rPr>
              <w:t>2.073.1508 - EP15 - AQUISIÇÃO MATERIAL DE CONSUMO SEC. SAÚDE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134" w:right="1274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qFormat="1"/>
    <w:lsdException w:name="Balloon Text" w:qFormat="1"/>
    <w:lsdException w:name="Table Grid" w:uiPriority="59" w:semiHidden="0" w:unhideWhenUsed="0" w:qFormat="1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70d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970d9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970d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qFormat/>
    <w:rsid w:val="00e970d9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LibreOffice/6.0.2.1$Windows_X86_64 LibreOffice_project/f7f06a8f319e4b62f9bc5095aa112a65d2f3ac89</Application>
  <Pages>4</Pages>
  <Words>682</Words>
  <Characters>4381</Characters>
  <CharactersWithSpaces>4962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2022-01-26T17:49:00Z</dcterms:created>
  <dc:creator>usuario</dc:creator>
  <dc:description/>
  <dc:language>pt-BR</dc:language>
  <cp:lastModifiedBy>Gabinete 03</cp:lastModifiedBy>
  <dcterms:modified xsi:type="dcterms:W3CDTF">2026-05-05T13:30:00Z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4E3F9336FD514710AF0B717C73F4EE64_13</vt:lpwstr>
  </property>
  <property fmtid="{D5CDD505-2E9C-101B-9397-08002B2CF9AE}" pid="6" name="KSOProductBuildVer">
    <vt:lpwstr>1046-12.2.0.23196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