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137694F1" w:rsidR="00DF4F05" w:rsidRPr="00A43791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A43791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E56454" w:rsidRPr="00A43791">
        <w:rPr>
          <w:rFonts w:ascii="Arial" w:hAnsi="Arial" w:cs="Arial"/>
          <w:b/>
          <w:bCs/>
          <w:sz w:val="20"/>
          <w:szCs w:val="20"/>
        </w:rPr>
        <w:t>2783</w:t>
      </w:r>
      <w:r w:rsidR="000D6FDA" w:rsidRPr="00A43791">
        <w:rPr>
          <w:rFonts w:ascii="Arial" w:hAnsi="Arial" w:cs="Arial"/>
          <w:b/>
          <w:bCs/>
          <w:sz w:val="20"/>
          <w:szCs w:val="20"/>
        </w:rPr>
        <w:t>/</w:t>
      </w:r>
      <w:r w:rsidRPr="00A43791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A43791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A43791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A43791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7F3104EC" w:rsidR="003105B1" w:rsidRPr="00A43791" w:rsidRDefault="004776DD" w:rsidP="00CC1F5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A43791">
        <w:rPr>
          <w:rFonts w:ascii="Arial" w:hAnsi="Arial" w:cs="Arial"/>
          <w:b/>
          <w:sz w:val="20"/>
          <w:szCs w:val="20"/>
        </w:rPr>
        <w:t>DISPÕE SOBRE A DENOMINAÇÃO DA ROTATÓRIA “SENHOR SEBASTIÃO BENFICA DE OLIVEIRA”, NA RUA SOFIA HENKE ERDMANN, NESTE MUNICÍPIO E DÁ OUTRAS PROVIDÊNCIAS</w:t>
      </w:r>
      <w:r w:rsidR="006259B6" w:rsidRPr="00A43791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A43791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A43791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A43791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A43791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A43791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A43791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A43791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A43791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55B98E5C" w:rsidR="003B7DA2" w:rsidRPr="00A43791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A43791">
        <w:rPr>
          <w:rFonts w:ascii="Arial" w:hAnsi="Arial" w:cs="Arial"/>
          <w:b/>
          <w:sz w:val="20"/>
          <w:szCs w:val="20"/>
        </w:rPr>
        <w:t>Art. 1º</w:t>
      </w:r>
      <w:r w:rsidRPr="00A43791">
        <w:rPr>
          <w:rFonts w:ascii="Arial" w:hAnsi="Arial" w:cs="Arial"/>
          <w:b/>
          <w:sz w:val="20"/>
          <w:szCs w:val="20"/>
          <w:lang w:val="pt-BR"/>
        </w:rPr>
        <w:t>.</w:t>
      </w:r>
      <w:r w:rsidRPr="00A43791">
        <w:rPr>
          <w:rFonts w:ascii="Arial" w:hAnsi="Arial" w:cs="Arial"/>
          <w:b/>
          <w:sz w:val="20"/>
          <w:szCs w:val="20"/>
        </w:rPr>
        <w:t> 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Fica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denominada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rotatória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“Senhor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Sebastião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Benfica de Oliveira”,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localizada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na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Rua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Sofia Henke Erdmann,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bairro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São Luiz,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neste</w:t>
      </w:r>
      <w:proofErr w:type="spellEnd"/>
      <w:r w:rsidR="004776DD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76DD" w:rsidRPr="00A43791">
        <w:rPr>
          <w:rFonts w:ascii="Arial" w:hAnsi="Arial" w:cs="Arial"/>
          <w:sz w:val="20"/>
          <w:szCs w:val="20"/>
        </w:rPr>
        <w:t>município</w:t>
      </w:r>
      <w:proofErr w:type="spellEnd"/>
      <w:r w:rsidR="00CC1F50" w:rsidRPr="00A43791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A43791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4C4C468E" w:rsidR="00B7347A" w:rsidRPr="00A43791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A43791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A43791">
        <w:rPr>
          <w:rFonts w:ascii="Arial" w:hAnsi="Arial" w:cs="Arial"/>
          <w:sz w:val="20"/>
          <w:szCs w:val="20"/>
          <w:lang w:val="pt-BR"/>
        </w:rPr>
        <w:t> 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Cumpre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ao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Poder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Executivo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dar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publicidade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conhecimento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à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população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referida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denominação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bem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como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providenciar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A43791">
        <w:rPr>
          <w:rFonts w:ascii="Arial" w:hAnsi="Arial" w:cs="Arial"/>
          <w:sz w:val="20"/>
          <w:szCs w:val="20"/>
        </w:rPr>
        <w:t>placa</w:t>
      </w:r>
      <w:proofErr w:type="spellEnd"/>
      <w:r w:rsidR="00674D42" w:rsidRPr="00A43791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74D42" w:rsidRPr="00A43791">
        <w:rPr>
          <w:rFonts w:ascii="Arial" w:hAnsi="Arial" w:cs="Arial"/>
          <w:spacing w:val="-2"/>
          <w:sz w:val="20"/>
          <w:szCs w:val="20"/>
        </w:rPr>
        <w:t>identificação</w:t>
      </w:r>
      <w:proofErr w:type="spellEnd"/>
      <w:r w:rsidRPr="00A43791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A43791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A43791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320FE271" w:rsidR="00B7347A" w:rsidRPr="00A43791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A43791">
        <w:rPr>
          <w:rFonts w:ascii="Arial" w:hAnsi="Arial" w:cs="Arial"/>
          <w:b/>
          <w:bCs/>
          <w:sz w:val="20"/>
          <w:szCs w:val="20"/>
        </w:rPr>
        <w:t>Art. 3º.</w:t>
      </w:r>
      <w:r w:rsidRPr="00A43791">
        <w:rPr>
          <w:rFonts w:ascii="Arial" w:hAnsi="Arial" w:cs="Arial"/>
          <w:sz w:val="20"/>
          <w:szCs w:val="20"/>
        </w:rPr>
        <w:t> </w:t>
      </w:r>
      <w:r w:rsidR="00674D42" w:rsidRPr="00A43791">
        <w:rPr>
          <w:rFonts w:ascii="Arial" w:hAnsi="Arial" w:cs="Arial"/>
          <w:sz w:val="20"/>
          <w:szCs w:val="20"/>
        </w:rPr>
        <w:t>Esta</w:t>
      </w:r>
      <w:r w:rsidR="00674D42" w:rsidRPr="00A43791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z w:val="20"/>
          <w:szCs w:val="20"/>
        </w:rPr>
        <w:t>Lei</w:t>
      </w:r>
      <w:r w:rsidR="00674D42" w:rsidRPr="00A43791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z w:val="20"/>
          <w:szCs w:val="20"/>
        </w:rPr>
        <w:t>entra</w:t>
      </w:r>
      <w:r w:rsidR="00674D42" w:rsidRPr="00A43791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z w:val="20"/>
          <w:szCs w:val="20"/>
        </w:rPr>
        <w:t>em</w:t>
      </w:r>
      <w:r w:rsidR="00674D42" w:rsidRPr="00A43791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z w:val="20"/>
          <w:szCs w:val="20"/>
        </w:rPr>
        <w:t>vigor</w:t>
      </w:r>
      <w:r w:rsidR="00674D42" w:rsidRPr="00A43791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z w:val="20"/>
          <w:szCs w:val="20"/>
        </w:rPr>
        <w:t>na</w:t>
      </w:r>
      <w:r w:rsidR="00674D42" w:rsidRPr="00A43791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z w:val="20"/>
          <w:szCs w:val="20"/>
        </w:rPr>
        <w:t>data</w:t>
      </w:r>
      <w:r w:rsidR="00674D42" w:rsidRPr="00A43791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z w:val="20"/>
          <w:szCs w:val="20"/>
        </w:rPr>
        <w:t>de</w:t>
      </w:r>
      <w:r w:rsidR="00674D42" w:rsidRPr="00A43791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z w:val="20"/>
          <w:szCs w:val="20"/>
        </w:rPr>
        <w:t>sua</w:t>
      </w:r>
      <w:r w:rsidR="00674D42" w:rsidRPr="00A43791">
        <w:rPr>
          <w:rFonts w:ascii="Arial" w:hAnsi="Arial" w:cs="Arial"/>
          <w:spacing w:val="-5"/>
          <w:sz w:val="20"/>
          <w:szCs w:val="20"/>
        </w:rPr>
        <w:t xml:space="preserve"> </w:t>
      </w:r>
      <w:r w:rsidR="00674D42" w:rsidRPr="00A43791">
        <w:rPr>
          <w:rFonts w:ascii="Arial" w:hAnsi="Arial" w:cs="Arial"/>
          <w:spacing w:val="-2"/>
          <w:sz w:val="20"/>
          <w:szCs w:val="20"/>
        </w:rPr>
        <w:t>publicação</w:t>
      </w:r>
      <w:r w:rsidRPr="00A43791">
        <w:rPr>
          <w:rFonts w:ascii="Arial" w:eastAsia="SimSun" w:hAnsi="Arial" w:cs="Arial"/>
          <w:sz w:val="20"/>
          <w:szCs w:val="20"/>
        </w:rPr>
        <w:t>.</w:t>
      </w:r>
    </w:p>
    <w:p w14:paraId="2AC0F6F9" w14:textId="77777777" w:rsidR="00A843B7" w:rsidRPr="00A43791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A43791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A43791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A43791">
        <w:rPr>
          <w:rFonts w:ascii="Arial" w:hAnsi="Arial" w:cs="Arial"/>
          <w:b/>
          <w:sz w:val="20"/>
          <w:szCs w:val="20"/>
        </w:rPr>
        <w:t>Registre-se. Publique-se. Cumpra-se</w:t>
      </w:r>
      <w:r w:rsidRPr="00A43791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A43791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320B338F" w:rsidR="002B252F" w:rsidRPr="00A43791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A43791">
        <w:rPr>
          <w:rFonts w:ascii="Arial" w:hAnsi="Arial" w:cs="Arial"/>
          <w:sz w:val="20"/>
          <w:szCs w:val="20"/>
        </w:rPr>
        <w:t xml:space="preserve">   Santa Maria de Jetibá-ES, </w:t>
      </w:r>
      <w:r w:rsidR="00E56454" w:rsidRPr="00A43791">
        <w:rPr>
          <w:rFonts w:ascii="Arial" w:hAnsi="Arial" w:cs="Arial"/>
          <w:sz w:val="20"/>
          <w:szCs w:val="20"/>
        </w:rPr>
        <w:t xml:space="preserve">10 </w:t>
      </w:r>
      <w:r w:rsidR="00674D42" w:rsidRPr="00A43791">
        <w:rPr>
          <w:rFonts w:ascii="Arial" w:hAnsi="Arial" w:cs="Arial"/>
          <w:sz w:val="20"/>
          <w:szCs w:val="20"/>
        </w:rPr>
        <w:t>de janeiro de 2024</w:t>
      </w:r>
      <w:r w:rsidRPr="00A43791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A43791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A43791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A43791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A43791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A43791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A43791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4141"/>
    <w:rsid w:val="00470941"/>
    <w:rsid w:val="004776DD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41613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804C8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F7AED"/>
    <w:rsid w:val="00A00B80"/>
    <w:rsid w:val="00A038E0"/>
    <w:rsid w:val="00A10E5C"/>
    <w:rsid w:val="00A43791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56454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694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6</cp:revision>
  <cp:lastPrinted>2023-12-20T17:30:00Z</cp:lastPrinted>
  <dcterms:created xsi:type="dcterms:W3CDTF">2024-01-18T16:08:00Z</dcterms:created>
  <dcterms:modified xsi:type="dcterms:W3CDTF">2024-01-18T19:03:00Z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