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5D19" w:rsidRPr="0057112C" w:rsidRDefault="00D85D19" w:rsidP="00D85D19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</w:p>
    <w:p w:rsidR="00D85D19" w:rsidRPr="0057112C" w:rsidRDefault="00D85D19" w:rsidP="00D85D19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 xml:space="preserve">PROJETO DE LEI  Nº </w:t>
      </w:r>
      <w:r>
        <w:rPr>
          <w:rFonts w:ascii="Bookman Old Style" w:hAnsi="Bookman Old Style"/>
          <w:b/>
          <w:sz w:val="22"/>
          <w:szCs w:val="22"/>
        </w:rPr>
        <w:t>14</w:t>
      </w:r>
      <w:bookmarkStart w:id="0" w:name="_GoBack"/>
      <w:bookmarkEnd w:id="0"/>
      <w:r w:rsidRPr="0057112C">
        <w:rPr>
          <w:rFonts w:ascii="Bookman Old Style" w:hAnsi="Bookman Old Style"/>
          <w:b/>
          <w:sz w:val="22"/>
          <w:szCs w:val="22"/>
        </w:rPr>
        <w:t xml:space="preserve"> DE 27 DE MAIO DE 2024</w:t>
      </w:r>
    </w:p>
    <w:p w:rsidR="00D85D19" w:rsidRPr="0057112C" w:rsidRDefault="00D85D19" w:rsidP="00D85D19">
      <w:pPr>
        <w:jc w:val="center"/>
        <w:rPr>
          <w:rFonts w:ascii="Bookman Old Style" w:hAnsi="Bookman Old Style"/>
          <w:b/>
          <w:sz w:val="22"/>
          <w:szCs w:val="22"/>
        </w:rPr>
      </w:pPr>
    </w:p>
    <w:p w:rsidR="00D85D19" w:rsidRPr="0057112C" w:rsidRDefault="00D85D19" w:rsidP="00D85D19">
      <w:pPr>
        <w:jc w:val="center"/>
        <w:rPr>
          <w:rFonts w:ascii="Bookman Old Style" w:hAnsi="Bookman Old Style"/>
          <w:b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sz w:val="22"/>
          <w:szCs w:val="22"/>
        </w:rPr>
        <w:t>DISPÕE SOBRE REESTRUTURAÇÃO DO CONSELHO MUNICIPAL DE SEGURANÇA ALIMENTAR E NUTRICIONAL – COMSEA – DO MUNICÍPIO DE LOURDES.</w:t>
      </w:r>
    </w:p>
    <w:p w:rsidR="00D85D19" w:rsidRPr="0057112C" w:rsidRDefault="00D85D19" w:rsidP="00D85D19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-BoldItalicMT"/>
          <w:b/>
          <w:bCs/>
          <w:iCs/>
          <w:sz w:val="22"/>
          <w:szCs w:val="22"/>
        </w:rPr>
      </w:pPr>
    </w:p>
    <w:p w:rsidR="00D85D19" w:rsidRPr="0057112C" w:rsidRDefault="00D85D19" w:rsidP="00D85D19">
      <w:pPr>
        <w:rPr>
          <w:rFonts w:ascii="Bookman Old Style" w:hAnsi="Bookman Old Style"/>
          <w:b/>
          <w:sz w:val="22"/>
          <w:szCs w:val="22"/>
        </w:rPr>
      </w:pPr>
    </w:p>
    <w:p w:rsidR="00D85D19" w:rsidRPr="0057112C" w:rsidRDefault="00D85D19" w:rsidP="00D85D19">
      <w:pPr>
        <w:tabs>
          <w:tab w:val="left" w:pos="0"/>
        </w:tabs>
        <w:jc w:val="both"/>
        <w:rPr>
          <w:rFonts w:ascii="Bookman Old Style" w:hAnsi="Bookman Old Style" w:cs="Courier New"/>
          <w:sz w:val="22"/>
          <w:szCs w:val="22"/>
        </w:rPr>
      </w:pPr>
      <w:r w:rsidRPr="0057112C">
        <w:rPr>
          <w:rFonts w:ascii="Bookman Old Style" w:hAnsi="Bookman Old Style" w:cs="Courier New"/>
          <w:sz w:val="22"/>
          <w:szCs w:val="22"/>
        </w:rPr>
        <w:t>Odécio Rodrigues da Silva, Prefeito do Município de Lourdes, Comarca de Buritama, Estado de São Paulo.</w:t>
      </w:r>
    </w:p>
    <w:p w:rsidR="00D85D19" w:rsidRPr="0057112C" w:rsidRDefault="00D85D19" w:rsidP="00D85D19">
      <w:pPr>
        <w:tabs>
          <w:tab w:val="left" w:pos="0"/>
        </w:tabs>
        <w:jc w:val="both"/>
        <w:rPr>
          <w:rFonts w:ascii="Bookman Old Style" w:hAnsi="Bookman Old Style" w:cs="Courier New"/>
          <w:b/>
          <w:sz w:val="22"/>
          <w:szCs w:val="22"/>
        </w:rPr>
      </w:pPr>
    </w:p>
    <w:p w:rsidR="00D85D19" w:rsidRPr="0057112C" w:rsidRDefault="00D85D19" w:rsidP="00D85D19">
      <w:pPr>
        <w:tabs>
          <w:tab w:val="left" w:pos="0"/>
        </w:tabs>
        <w:jc w:val="both"/>
        <w:rPr>
          <w:rFonts w:ascii="Bookman Old Style" w:hAnsi="Bookman Old Style" w:cs="Courier New"/>
          <w:sz w:val="22"/>
          <w:szCs w:val="22"/>
        </w:rPr>
      </w:pPr>
      <w:r w:rsidRPr="0057112C">
        <w:rPr>
          <w:rFonts w:ascii="Bookman Old Style" w:hAnsi="Bookman Old Style" w:cs="Courier New"/>
          <w:sz w:val="22"/>
          <w:szCs w:val="22"/>
        </w:rPr>
        <w:t>Faz saber que a Câmara Municipal de Lourdes aprova e ele sanciona e promulga a seguinte lei: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widowControl w:val="0"/>
        <w:autoSpaceDE w:val="0"/>
        <w:autoSpaceDN w:val="0"/>
        <w:adjustRightInd w:val="0"/>
        <w:spacing w:line="360" w:lineRule="auto"/>
        <w:ind w:right="78"/>
        <w:jc w:val="both"/>
        <w:rPr>
          <w:rFonts w:ascii="Bookman Old Style" w:hAnsi="Bookman Old Style" w:cs="Arial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1º</w:t>
      </w:r>
      <w:r w:rsidRPr="0057112C">
        <w:rPr>
          <w:rFonts w:ascii="Bookman Old Style" w:hAnsi="Bookman Old Style"/>
          <w:sz w:val="22"/>
          <w:szCs w:val="22"/>
        </w:rPr>
        <w:t xml:space="preserve"> - </w:t>
      </w:r>
      <w:r w:rsidRPr="0057112C">
        <w:rPr>
          <w:rFonts w:ascii="Bookman Old Style" w:hAnsi="Bookman Old Style" w:cs="Arial"/>
          <w:sz w:val="22"/>
          <w:szCs w:val="22"/>
        </w:rPr>
        <w:t>O</w:t>
      </w:r>
      <w:r w:rsidRPr="0057112C">
        <w:rPr>
          <w:rFonts w:ascii="Bookman Old Style" w:hAnsi="Bookman Old Style" w:cs="Arial"/>
          <w:spacing w:val="27"/>
          <w:sz w:val="22"/>
          <w:szCs w:val="22"/>
        </w:rPr>
        <w:t xml:space="preserve"> </w:t>
      </w:r>
      <w:r w:rsidRPr="0057112C">
        <w:rPr>
          <w:rFonts w:ascii="Bookman Old Style" w:hAnsi="Bookman Old Style"/>
          <w:sz w:val="22"/>
          <w:szCs w:val="22"/>
        </w:rPr>
        <w:t>Conselho Municipal de Segurança Alimentar E Nutricional – COMSEA</w:t>
      </w:r>
      <w:r w:rsidRPr="0057112C">
        <w:rPr>
          <w:rFonts w:ascii="Bookman Old Style" w:hAnsi="Bookman Old Style" w:cs="Arial"/>
          <w:sz w:val="22"/>
          <w:szCs w:val="22"/>
        </w:rPr>
        <w:t>, criado pela Lei municipal nº 635/2004, passa a ser regulamentado pela presente Lei: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2º</w:t>
      </w:r>
      <w:r w:rsidRPr="0057112C">
        <w:rPr>
          <w:rFonts w:ascii="Bookman Old Style" w:hAnsi="Bookman Old Style"/>
          <w:sz w:val="22"/>
          <w:szCs w:val="22"/>
        </w:rPr>
        <w:t xml:space="preserve"> - Cabe ao Conselho Municipal de Segurança Alimentar e Nutricional – COMSEA estabelecer diálogo permanente com o governo municipal e as organizações sociais nele representadas, com o objetivo de assessorar o governo do município de Lourdes na formulação de políticas públicas e na definição de diretrizes e prioridades que vivem para garantir o direito humano a alimentação.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3º</w:t>
      </w:r>
      <w:r w:rsidRPr="0057112C">
        <w:rPr>
          <w:rFonts w:ascii="Bookman Old Style" w:hAnsi="Bookman Old Style"/>
          <w:sz w:val="22"/>
          <w:szCs w:val="22"/>
        </w:rPr>
        <w:t xml:space="preserve"> - Compete ao Conselho Municipal de Segurança Alimentar e Nutricional – COMSEA propor e pronunciar-se sobre: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I –</w:t>
      </w:r>
      <w:r w:rsidRPr="0057112C">
        <w:rPr>
          <w:rFonts w:ascii="Bookman Old Style" w:hAnsi="Bookman Old Style"/>
          <w:sz w:val="22"/>
          <w:szCs w:val="22"/>
        </w:rPr>
        <w:t xml:space="preserve"> As diretrizes da política municipal de segurança alimentar e nutricional a serem implementadas pelo Governo;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 xml:space="preserve">II </w:t>
      </w:r>
      <w:r w:rsidRPr="0057112C">
        <w:rPr>
          <w:rFonts w:ascii="Bookman Old Style" w:hAnsi="Bookman Old Style"/>
          <w:sz w:val="22"/>
          <w:szCs w:val="22"/>
        </w:rPr>
        <w:t>– Os projetos e ações prioritárias da política municipal de segurança alimentar e nutricional a serem incluídos, anualmente, na lei de diretrizes orçamentárias e no orçamento do município de Lourdes;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III</w:t>
      </w:r>
      <w:r w:rsidRPr="0057112C">
        <w:rPr>
          <w:rFonts w:ascii="Bookman Old Style" w:hAnsi="Bookman Old Style"/>
          <w:sz w:val="22"/>
          <w:szCs w:val="22"/>
        </w:rPr>
        <w:t xml:space="preserve"> – As formas de articulação e mobilização da sociedade civil organizada, no âmbito da política municipal de segurança alimentar e nutricional, indicando prioridades;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IV</w:t>
      </w:r>
      <w:r w:rsidRPr="0057112C">
        <w:rPr>
          <w:rFonts w:ascii="Bookman Old Style" w:hAnsi="Bookman Old Style"/>
          <w:sz w:val="22"/>
          <w:szCs w:val="22"/>
        </w:rPr>
        <w:t xml:space="preserve"> – A realização de estudos que fundamentam as propostas ligadas à segurança alimentar e nutricional;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V</w:t>
      </w:r>
      <w:r w:rsidRPr="0057112C">
        <w:rPr>
          <w:rFonts w:ascii="Bookman Old Style" w:hAnsi="Bookman Old Style"/>
          <w:sz w:val="22"/>
          <w:szCs w:val="22"/>
        </w:rPr>
        <w:t xml:space="preserve"> – A organização e implementação das conferências municipais de segurança alimentar e nutricional a cada 4 anos;</w:t>
      </w:r>
    </w:p>
    <w:p w:rsidR="00D85D19" w:rsidRPr="0057112C" w:rsidRDefault="00D85D19" w:rsidP="00D85D19">
      <w:pPr>
        <w:jc w:val="both"/>
        <w:rPr>
          <w:rFonts w:ascii="Bookman Old Style" w:hAnsi="Bookman Old Style"/>
          <w:b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VI</w:t>
      </w:r>
      <w:r w:rsidRPr="0057112C">
        <w:rPr>
          <w:rFonts w:ascii="Bookman Old Style" w:hAnsi="Bookman Old Style"/>
          <w:sz w:val="22"/>
          <w:szCs w:val="22"/>
        </w:rPr>
        <w:t xml:space="preserve"> – Criar câmaras temática e intersetorial Municipal de Segurança Alimentar e Nutricional -CAISAN do Município de Lourdes, no âmbito do Sistema Nacional de Segurança Alimentar e Nutricional–SISAN, com a finalidade de promover a articulação e a integração dos órgãos, entidades e ações da administração pública municipais afetos à área de Segurança Alimentar e Nutricional.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 xml:space="preserve">VII </w:t>
      </w:r>
      <w:r w:rsidRPr="0057112C">
        <w:rPr>
          <w:rFonts w:ascii="Bookman Old Style" w:hAnsi="Bookman Old Style"/>
          <w:sz w:val="22"/>
          <w:szCs w:val="22"/>
        </w:rPr>
        <w:t>– Propor medidas de integração, discu</w:t>
      </w:r>
      <w:r w:rsidRPr="0057112C">
        <w:rPr>
          <w:rFonts w:ascii="Bookman Old Style" w:hAnsi="Bookman Old Style" w:cs="Calibri"/>
          <w:sz w:val="22"/>
          <w:szCs w:val="22"/>
        </w:rPr>
        <w:t>ti</w:t>
      </w:r>
      <w:r w:rsidRPr="0057112C">
        <w:rPr>
          <w:rFonts w:ascii="Bookman Old Style" w:hAnsi="Bookman Old Style"/>
          <w:sz w:val="22"/>
          <w:szCs w:val="22"/>
        </w:rPr>
        <w:t xml:space="preserve">ndo-se critérios e estabelecendo formas de participação do município nos programas vinculados ao Governo Federal e Estadual, relacionados à segurança alimentar; </w:t>
      </w:r>
    </w:p>
    <w:p w:rsidR="00D85D19" w:rsidRPr="0057112C" w:rsidRDefault="00D85D19" w:rsidP="00D85D19">
      <w:pPr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lastRenderedPageBreak/>
        <w:t>Parágrafo Único</w:t>
      </w:r>
      <w:r w:rsidRPr="0057112C">
        <w:rPr>
          <w:rFonts w:ascii="Bookman Old Style" w:hAnsi="Bookman Old Style"/>
          <w:sz w:val="22"/>
          <w:szCs w:val="22"/>
        </w:rPr>
        <w:t xml:space="preserve"> – Compete também ao Conselho Municipal de Segurança Alimentar e Nutricional – COMSEA estabelecer as relações de cooperação com os conselhos municipais de segurança alimentar e nutricional de municípios da região e Conselho Estadual de Segurança Alimentar e Nutricional do Estado de São Paulo e o Conselho Nacional de Segurança Alimentar e Nutricional – CONSEA.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4º</w:t>
      </w:r>
      <w:r w:rsidRPr="0057112C">
        <w:rPr>
          <w:rFonts w:ascii="Bookman Old Style" w:hAnsi="Bookman Old Style"/>
          <w:sz w:val="22"/>
          <w:szCs w:val="22"/>
        </w:rPr>
        <w:t xml:space="preserve"> - O Conselho Municipal de Segurança Alimentar e Nutricional – COMSEA será composto por no mínimo seis conselheiros, sendo dois terços representantes da sociedade civil organizada e um terço de representantes do Poder Público.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Style w:val="Forte"/>
          <w:rFonts w:ascii="Bookman Old Style" w:hAnsi="Bookman Old Style" w:cs="Arial"/>
          <w:sz w:val="22"/>
          <w:szCs w:val="22"/>
          <w:shd w:val="clear" w:color="auto" w:fill="FFFFFF"/>
        </w:rPr>
        <w:t>§ 1º -</w:t>
      </w:r>
      <w:r w:rsidRPr="0057112C">
        <w:rPr>
          <w:rFonts w:ascii="Bookman Old Style" w:hAnsi="Bookman Old Style"/>
          <w:sz w:val="22"/>
          <w:szCs w:val="22"/>
        </w:rPr>
        <w:t xml:space="preserve"> Caberá ao município definir seus representantes, incluindo os Departamentos afins ao tema da segurança alimentar conforme segue:</w:t>
      </w:r>
    </w:p>
    <w:p w:rsidR="00D85D19" w:rsidRPr="0057112C" w:rsidRDefault="00D85D19" w:rsidP="00D85D19">
      <w:pPr>
        <w:pStyle w:val="PargrafodaLista"/>
        <w:ind w:left="0"/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sz w:val="22"/>
          <w:szCs w:val="22"/>
        </w:rPr>
        <w:t>I – Poder Executivo Municipal</w:t>
      </w:r>
    </w:p>
    <w:p w:rsidR="00D85D19" w:rsidRPr="0057112C" w:rsidRDefault="00D85D19" w:rsidP="00D85D19">
      <w:pPr>
        <w:pStyle w:val="PargrafodaLista"/>
        <w:numPr>
          <w:ilvl w:val="0"/>
          <w:numId w:val="8"/>
        </w:numPr>
        <w:spacing w:after="160" w:line="259" w:lineRule="auto"/>
        <w:ind w:left="284" w:hanging="284"/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sz w:val="22"/>
          <w:szCs w:val="22"/>
        </w:rPr>
        <w:t>1 representante do Departamento Municipal de Saúde e 01(um) suplente do Departamento Municipal de Educação.</w:t>
      </w:r>
    </w:p>
    <w:p w:rsidR="00D85D19" w:rsidRPr="0057112C" w:rsidRDefault="00D85D19" w:rsidP="00D85D19">
      <w:pPr>
        <w:pStyle w:val="PargrafodaLista"/>
        <w:numPr>
          <w:ilvl w:val="0"/>
          <w:numId w:val="8"/>
        </w:numPr>
        <w:spacing w:after="160" w:line="259" w:lineRule="auto"/>
        <w:ind w:left="284" w:hanging="284"/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sz w:val="22"/>
          <w:szCs w:val="22"/>
        </w:rPr>
        <w:t xml:space="preserve">1 representante do Departamento Municipal de Desenvolvimento Social e 01 (um) suplente do </w:t>
      </w:r>
      <w:r w:rsidRPr="0057112C">
        <w:rPr>
          <w:rFonts w:ascii="Bookman Old Style" w:hAnsi="Bookman Old Style" w:cs="Arial"/>
          <w:sz w:val="20"/>
        </w:rPr>
        <w:t>Departamento Municipal de Comércio, Indústria, Agricultura e Meio Ambiente</w:t>
      </w:r>
      <w:r w:rsidRPr="0057112C">
        <w:rPr>
          <w:rFonts w:ascii="Bookman Old Style" w:hAnsi="Bookman Old Style"/>
          <w:sz w:val="22"/>
          <w:szCs w:val="22"/>
        </w:rPr>
        <w:t xml:space="preserve">. </w:t>
      </w:r>
    </w:p>
    <w:p w:rsidR="00D85D19" w:rsidRPr="0057112C" w:rsidRDefault="00D85D19" w:rsidP="00D85D19">
      <w:pPr>
        <w:spacing w:after="160" w:line="259" w:lineRule="auto"/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sz w:val="22"/>
          <w:szCs w:val="22"/>
        </w:rPr>
        <w:t>II – Sociedade Civil</w:t>
      </w:r>
    </w:p>
    <w:p w:rsidR="00D85D19" w:rsidRPr="0057112C" w:rsidRDefault="00D85D19" w:rsidP="00D85D19">
      <w:pPr>
        <w:pStyle w:val="PargrafodaLista"/>
        <w:numPr>
          <w:ilvl w:val="0"/>
          <w:numId w:val="9"/>
        </w:numPr>
        <w:ind w:left="284" w:hanging="284"/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sz w:val="22"/>
          <w:szCs w:val="22"/>
        </w:rPr>
        <w:t xml:space="preserve">  01 (um) representante e 01 (um) suplente de entidades assistenciais</w:t>
      </w:r>
    </w:p>
    <w:p w:rsidR="00D85D19" w:rsidRPr="0057112C" w:rsidRDefault="00D85D19" w:rsidP="00D85D19">
      <w:pPr>
        <w:pStyle w:val="PargrafodaLista"/>
        <w:numPr>
          <w:ilvl w:val="0"/>
          <w:numId w:val="9"/>
        </w:numPr>
        <w:tabs>
          <w:tab w:val="left" w:pos="567"/>
        </w:tabs>
        <w:ind w:left="0" w:firstLine="0"/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sz w:val="22"/>
          <w:szCs w:val="22"/>
        </w:rPr>
        <w:t>01 (um) representante e 01 (um) suplente de entidades religiosas</w:t>
      </w:r>
    </w:p>
    <w:p w:rsidR="00D85D19" w:rsidRPr="0057112C" w:rsidRDefault="00D85D19" w:rsidP="00D85D19">
      <w:pPr>
        <w:pStyle w:val="PargrafodaLista"/>
        <w:numPr>
          <w:ilvl w:val="0"/>
          <w:numId w:val="9"/>
        </w:numPr>
        <w:ind w:left="426" w:hanging="426"/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sz w:val="22"/>
          <w:szCs w:val="22"/>
        </w:rPr>
        <w:t xml:space="preserve"> 01 (um) representante e 01 (um) suplente de associação de produtores rurais</w:t>
      </w:r>
    </w:p>
    <w:p w:rsidR="00D85D19" w:rsidRPr="0057112C" w:rsidRDefault="00D85D19" w:rsidP="00D85D19">
      <w:pPr>
        <w:pStyle w:val="PargrafodaLista"/>
        <w:numPr>
          <w:ilvl w:val="0"/>
          <w:numId w:val="9"/>
        </w:numPr>
        <w:ind w:left="426" w:hanging="426"/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sz w:val="22"/>
          <w:szCs w:val="22"/>
        </w:rPr>
        <w:t xml:space="preserve">01 (um) representante e 01 (um) suplente de comunidades de bairro 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5º</w:t>
      </w:r>
      <w:r w:rsidRPr="0057112C">
        <w:rPr>
          <w:rFonts w:ascii="Bookman Old Style" w:hAnsi="Bookman Old Style"/>
          <w:sz w:val="22"/>
          <w:szCs w:val="22"/>
        </w:rPr>
        <w:t xml:space="preserve"> - O COMSEA será instituído mediante decreto municipal contendo a indicação dos conselheiros governamentais e não governamental com seus respectivos suplentes.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6º</w:t>
      </w:r>
      <w:r w:rsidRPr="0057112C">
        <w:rPr>
          <w:rFonts w:ascii="Bookman Old Style" w:hAnsi="Bookman Old Style"/>
          <w:sz w:val="22"/>
          <w:szCs w:val="22"/>
        </w:rPr>
        <w:t xml:space="preserve"> - Os conselheiros suplentes substituirão os titulares em seus impedimentos nas reuniões do COMSEA e de suas câmaras temáticas, com direito a voz e voto.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7º</w:t>
      </w:r>
      <w:r w:rsidRPr="0057112C">
        <w:rPr>
          <w:rFonts w:ascii="Bookman Old Style" w:hAnsi="Bookman Old Style"/>
          <w:sz w:val="22"/>
          <w:szCs w:val="22"/>
        </w:rPr>
        <w:t xml:space="preserve"> - O mandato dos membros representantes da sociedade civil no conselho será de dois anos admitidos duas reconduções consecutivas.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8º</w:t>
      </w:r>
      <w:r w:rsidRPr="0057112C">
        <w:rPr>
          <w:rFonts w:ascii="Bookman Old Style" w:hAnsi="Bookman Old Style"/>
          <w:sz w:val="22"/>
          <w:szCs w:val="22"/>
        </w:rPr>
        <w:t xml:space="preserve"> - </w:t>
      </w:r>
      <w:proofErr w:type="gramStart"/>
      <w:r w:rsidRPr="0057112C">
        <w:rPr>
          <w:rFonts w:ascii="Bookman Old Style" w:hAnsi="Bookman Old Style"/>
          <w:sz w:val="22"/>
          <w:szCs w:val="22"/>
        </w:rPr>
        <w:t>A ausência às reuniões plenárias deverão</w:t>
      </w:r>
      <w:proofErr w:type="gramEnd"/>
      <w:r w:rsidRPr="0057112C">
        <w:rPr>
          <w:rFonts w:ascii="Bookman Old Style" w:hAnsi="Bookman Old Style"/>
          <w:sz w:val="22"/>
          <w:szCs w:val="22"/>
        </w:rPr>
        <w:t xml:space="preserve"> ser justificadas em comunicação por escrito à presidência com antecedência de no mínimo três dias ou três dias posteriores a sessão se imprevisível a falta. 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9º</w:t>
      </w:r>
      <w:r w:rsidRPr="0057112C">
        <w:rPr>
          <w:rFonts w:ascii="Bookman Old Style" w:hAnsi="Bookman Old Style"/>
          <w:sz w:val="22"/>
          <w:szCs w:val="22"/>
        </w:rPr>
        <w:t xml:space="preserve"> - O presidente do COMSEA será eleito entre seus membros e recairá sobre um representante da sociedade civil.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10</w:t>
      </w:r>
      <w:r w:rsidRPr="0057112C">
        <w:rPr>
          <w:rFonts w:ascii="Bookman Old Style" w:hAnsi="Bookman Old Style"/>
          <w:sz w:val="22"/>
          <w:szCs w:val="22"/>
        </w:rPr>
        <w:t xml:space="preserve"> </w:t>
      </w:r>
      <w:proofErr w:type="gramStart"/>
      <w:r w:rsidRPr="0057112C">
        <w:rPr>
          <w:rFonts w:ascii="Bookman Old Style" w:hAnsi="Bookman Old Style"/>
          <w:sz w:val="22"/>
          <w:szCs w:val="22"/>
        </w:rPr>
        <w:t>-  Poderão</w:t>
      </w:r>
      <w:proofErr w:type="gramEnd"/>
      <w:r w:rsidRPr="0057112C">
        <w:rPr>
          <w:rFonts w:ascii="Bookman Old Style" w:hAnsi="Bookman Old Style"/>
          <w:sz w:val="22"/>
          <w:szCs w:val="22"/>
        </w:rPr>
        <w:t xml:space="preserve"> participar das reuniões do COMSEA, sem direito a voto, os titulares de outros órgãos ou entidades públicas, bem como as pessoas que representam a sociedade civil, sempre que constar na pauta assuntos de sua área de atuação.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11</w:t>
      </w:r>
      <w:r w:rsidRPr="0057112C">
        <w:rPr>
          <w:rFonts w:ascii="Bookman Old Style" w:hAnsi="Bookman Old Style"/>
          <w:sz w:val="22"/>
          <w:szCs w:val="22"/>
        </w:rPr>
        <w:t xml:space="preserve"> - O COMSEA poderá ter como convidados permanentes, na condição de observadores, um representante de cada um dos Conselhos Municipais existentes.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12</w:t>
      </w:r>
      <w:r w:rsidRPr="0057112C">
        <w:rPr>
          <w:rFonts w:ascii="Bookman Old Style" w:hAnsi="Bookman Old Style"/>
          <w:sz w:val="22"/>
          <w:szCs w:val="22"/>
        </w:rPr>
        <w:t xml:space="preserve"> - A participação dos Conselheiros no COMSEA não será remunerada.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13</w:t>
      </w:r>
      <w:r w:rsidRPr="0057112C">
        <w:rPr>
          <w:rFonts w:ascii="Bookman Old Style" w:hAnsi="Bookman Old Style"/>
          <w:sz w:val="22"/>
          <w:szCs w:val="22"/>
        </w:rPr>
        <w:t xml:space="preserve"> - O COMSEA poderá instituir grupos de trabalho, de caráter temporário, para estudarem e proporem medidas específicas.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lastRenderedPageBreak/>
        <w:t>Art. 14</w:t>
      </w:r>
      <w:r w:rsidRPr="0057112C">
        <w:rPr>
          <w:rFonts w:ascii="Bookman Old Style" w:hAnsi="Bookman Old Style"/>
          <w:sz w:val="22"/>
          <w:szCs w:val="22"/>
        </w:rPr>
        <w:t xml:space="preserve"> - Cabe ao governo municipal assegurar ao COMSEA e a seus grupos de trabalho os meios necessários ao exercício de suas competências, incluindo suporte administrativo e técnico, e recursos financeiros, assegurados pelo orçamento municipal.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15</w:t>
      </w:r>
      <w:r w:rsidRPr="0057112C">
        <w:rPr>
          <w:rFonts w:ascii="Bookman Old Style" w:hAnsi="Bookman Old Style"/>
          <w:sz w:val="22"/>
          <w:szCs w:val="22"/>
        </w:rPr>
        <w:t xml:space="preserve"> - O COMSEA deverá se reunir ordinariamente em sessões trimestrais e extraordinariamente quando convocado por seu presidente ou, pelo menos ou pela metade dos seus membros, com antecedência mínima de cinco dias.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16</w:t>
      </w:r>
      <w:r w:rsidRPr="0057112C">
        <w:rPr>
          <w:rFonts w:ascii="Bookman Old Style" w:hAnsi="Bookman Old Style"/>
          <w:sz w:val="22"/>
          <w:szCs w:val="22"/>
        </w:rPr>
        <w:t xml:space="preserve"> - O COMSEA atualizará o seu regimento interno em até 120 dias a contar da data de sua instalação.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17</w:t>
      </w:r>
      <w:r w:rsidRPr="0057112C">
        <w:rPr>
          <w:rFonts w:ascii="Bookman Old Style" w:hAnsi="Bookman Old Style"/>
          <w:sz w:val="22"/>
          <w:szCs w:val="22"/>
        </w:rPr>
        <w:t xml:space="preserve"> - Esta lei entrará em vigor na data de sua publicação</w:t>
      </w:r>
      <w:r>
        <w:rPr>
          <w:rFonts w:ascii="Bookman Old Style" w:hAnsi="Bookman Old Style"/>
          <w:sz w:val="22"/>
          <w:szCs w:val="22"/>
        </w:rPr>
        <w:t>, em especial a Lei nº 635/2004.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Art. 18</w:t>
      </w:r>
      <w:r w:rsidRPr="0057112C">
        <w:rPr>
          <w:rFonts w:ascii="Bookman Old Style" w:hAnsi="Bookman Old Style"/>
          <w:sz w:val="22"/>
          <w:szCs w:val="22"/>
        </w:rPr>
        <w:t xml:space="preserve"> - Revogam-se as disposições em contrário.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bookmarkStart w:id="1" w:name="_Hlk168990152"/>
    </w:p>
    <w:p w:rsidR="00D85D19" w:rsidRPr="0057112C" w:rsidRDefault="00D85D19" w:rsidP="00D85D19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 w:rsidRPr="0057112C">
        <w:rPr>
          <w:rFonts w:ascii="Bookman Old Style" w:hAnsi="Bookman Old Style" w:cs="Calibri"/>
          <w:sz w:val="22"/>
          <w:szCs w:val="22"/>
        </w:rPr>
        <w:t>Lourdes, 13 de junho de 2.024</w:t>
      </w:r>
    </w:p>
    <w:p w:rsidR="00D85D19" w:rsidRPr="0057112C" w:rsidRDefault="00D85D19" w:rsidP="00D85D19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D85D19" w:rsidRPr="0057112C" w:rsidRDefault="00D85D19" w:rsidP="00D85D19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D85D19" w:rsidRPr="0057112C" w:rsidRDefault="00D85D19" w:rsidP="00D85D19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 w:rsidRPr="0057112C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02C42CD" wp14:editId="3D0B58FC">
            <wp:simplePos x="0" y="0"/>
            <wp:positionH relativeFrom="column">
              <wp:posOffset>2828925</wp:posOffset>
            </wp:positionH>
            <wp:positionV relativeFrom="paragraph">
              <wp:posOffset>86360</wp:posOffset>
            </wp:positionV>
            <wp:extent cx="1293228" cy="647959"/>
            <wp:effectExtent l="0" t="0" r="254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228" cy="647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5D19" w:rsidRPr="0057112C" w:rsidRDefault="00D85D19" w:rsidP="00D85D19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D85D19" w:rsidRPr="0057112C" w:rsidRDefault="00D85D19" w:rsidP="00D85D19">
      <w:pPr>
        <w:jc w:val="center"/>
        <w:rPr>
          <w:rFonts w:ascii="Bookman Old Style" w:hAnsi="Bookman Old Style" w:cs="Courier New"/>
          <w:sz w:val="22"/>
          <w:szCs w:val="22"/>
        </w:rPr>
      </w:pPr>
      <w:r w:rsidRPr="0057112C">
        <w:rPr>
          <w:rFonts w:ascii="Bookman Old Style" w:hAnsi="Bookman Old Style" w:cs="Courier New"/>
          <w:sz w:val="22"/>
          <w:szCs w:val="22"/>
        </w:rPr>
        <w:t>Odécio Rodrigues da Silva</w:t>
      </w:r>
    </w:p>
    <w:p w:rsidR="00D85D19" w:rsidRPr="0057112C" w:rsidRDefault="00D85D19" w:rsidP="00D85D19">
      <w:pPr>
        <w:jc w:val="center"/>
        <w:rPr>
          <w:rFonts w:ascii="Bookman Old Style" w:hAnsi="Bookman Old Style" w:cs="Courier New"/>
          <w:sz w:val="22"/>
          <w:szCs w:val="22"/>
        </w:rPr>
      </w:pPr>
      <w:r w:rsidRPr="0057112C">
        <w:rPr>
          <w:rFonts w:ascii="Bookman Old Style" w:hAnsi="Bookman Old Style" w:cs="Courier New"/>
          <w:sz w:val="22"/>
          <w:szCs w:val="22"/>
        </w:rPr>
        <w:t>Prefeito</w:t>
      </w:r>
    </w:p>
    <w:bookmarkEnd w:id="1"/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center"/>
        <w:rPr>
          <w:rFonts w:ascii="Bookman Old Style" w:hAnsi="Bookman Old Style"/>
          <w:b/>
          <w:sz w:val="22"/>
          <w:szCs w:val="22"/>
        </w:rPr>
      </w:pPr>
      <w:r w:rsidRPr="0057112C">
        <w:rPr>
          <w:rFonts w:ascii="Bookman Old Style" w:hAnsi="Bookman Old Style"/>
          <w:b/>
          <w:sz w:val="22"/>
          <w:szCs w:val="22"/>
        </w:rPr>
        <w:t>JUSTIFICATIVA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sz w:val="22"/>
          <w:szCs w:val="22"/>
        </w:rPr>
        <w:t>Senhor Presidente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sz w:val="22"/>
          <w:szCs w:val="22"/>
        </w:rPr>
        <w:t xml:space="preserve">Senhores Edis 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ind w:firstLine="709"/>
        <w:jc w:val="both"/>
        <w:rPr>
          <w:rFonts w:ascii="Bookman Old Style" w:hAnsi="Bookman Old Style"/>
          <w:sz w:val="22"/>
          <w:szCs w:val="22"/>
        </w:rPr>
      </w:pPr>
      <w:r w:rsidRPr="0057112C">
        <w:rPr>
          <w:rFonts w:ascii="Bookman Old Style" w:hAnsi="Bookman Old Style"/>
          <w:sz w:val="22"/>
          <w:szCs w:val="22"/>
        </w:rPr>
        <w:t>O presente Projeto de Lei tem por objetivo realizar adequações na legislação que regula o funcionamento do Conselho Municipal de Segurança Alimentar, realizando dentre outras modificações, a fim de acompanhar as alterações recomendadas pelo Conselho Estadual, bem como realizar alterações relativas às estruturações do Conselho. Sendo o que temos para o momento, subscrevemo-nos, renovando elevados protestos de estima e distinta consideração.</w:t>
      </w:r>
    </w:p>
    <w:p w:rsidR="00D85D19" w:rsidRPr="0057112C" w:rsidRDefault="00D85D19" w:rsidP="00D85D19">
      <w:pPr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D85D19" w:rsidRPr="0057112C" w:rsidRDefault="00D85D19" w:rsidP="00D85D19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 w:rsidRPr="0057112C">
        <w:rPr>
          <w:rFonts w:ascii="Bookman Old Style" w:hAnsi="Bookman Old Style" w:cs="Calibri"/>
          <w:sz w:val="22"/>
          <w:szCs w:val="22"/>
        </w:rPr>
        <w:t>Lourdes, 13 de junho de 2.024</w:t>
      </w:r>
    </w:p>
    <w:p w:rsidR="00D85D19" w:rsidRPr="0057112C" w:rsidRDefault="00D85D19" w:rsidP="00D85D19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D85D19" w:rsidRPr="0057112C" w:rsidRDefault="00D85D19" w:rsidP="00D85D19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D85D19" w:rsidRPr="0057112C" w:rsidRDefault="00D85D19" w:rsidP="00D85D19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 w:rsidRPr="0057112C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7761A352" wp14:editId="77C37EF7">
            <wp:simplePos x="0" y="0"/>
            <wp:positionH relativeFrom="column">
              <wp:posOffset>2828925</wp:posOffset>
            </wp:positionH>
            <wp:positionV relativeFrom="paragraph">
              <wp:posOffset>86360</wp:posOffset>
            </wp:positionV>
            <wp:extent cx="1293228" cy="647959"/>
            <wp:effectExtent l="0" t="0" r="254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228" cy="647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5D19" w:rsidRPr="0057112C" w:rsidRDefault="00D85D19" w:rsidP="00D85D19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D85D19" w:rsidRPr="0057112C" w:rsidRDefault="00D85D19" w:rsidP="00D85D19">
      <w:pPr>
        <w:jc w:val="center"/>
        <w:rPr>
          <w:rFonts w:ascii="Bookman Old Style" w:hAnsi="Bookman Old Style" w:cs="Courier New"/>
          <w:sz w:val="22"/>
          <w:szCs w:val="22"/>
        </w:rPr>
      </w:pPr>
      <w:r w:rsidRPr="0057112C">
        <w:rPr>
          <w:rFonts w:ascii="Bookman Old Style" w:hAnsi="Bookman Old Style" w:cs="Courier New"/>
          <w:sz w:val="22"/>
          <w:szCs w:val="22"/>
        </w:rPr>
        <w:t>Odécio Rodrigues da Silva</w:t>
      </w:r>
    </w:p>
    <w:p w:rsidR="00D85D19" w:rsidRPr="0057112C" w:rsidRDefault="00D85D19" w:rsidP="00D85D19">
      <w:pPr>
        <w:jc w:val="center"/>
        <w:rPr>
          <w:rFonts w:ascii="Bookman Old Style" w:hAnsi="Bookman Old Style" w:cs="Courier New"/>
          <w:sz w:val="22"/>
          <w:szCs w:val="22"/>
        </w:rPr>
      </w:pPr>
      <w:r w:rsidRPr="0057112C">
        <w:rPr>
          <w:rFonts w:ascii="Bookman Old Style" w:hAnsi="Bookman Old Style" w:cs="Courier New"/>
          <w:sz w:val="22"/>
          <w:szCs w:val="22"/>
        </w:rPr>
        <w:t>Prefeito</w:t>
      </w:r>
    </w:p>
    <w:p w:rsidR="00D85D19" w:rsidRPr="0057112C" w:rsidRDefault="00D85D19" w:rsidP="00D85D19">
      <w:pPr>
        <w:rPr>
          <w:rFonts w:ascii="Bookman Old Style" w:hAnsi="Bookman Old Style"/>
          <w:sz w:val="22"/>
          <w:szCs w:val="22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2175" w:rsidRDefault="00962175">
      <w:r>
        <w:separator/>
      </w:r>
    </w:p>
  </w:endnote>
  <w:endnote w:type="continuationSeparator" w:id="0">
    <w:p w:rsidR="00962175" w:rsidRDefault="00962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-Bold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2175" w:rsidRDefault="00962175">
      <w:r>
        <w:separator/>
      </w:r>
    </w:p>
  </w:footnote>
  <w:footnote w:type="continuationSeparator" w:id="0">
    <w:p w:rsidR="00962175" w:rsidRDefault="00962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962175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962175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79857312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5330F"/>
    <w:multiLevelType w:val="hybridMultilevel"/>
    <w:tmpl w:val="55C85F1A"/>
    <w:lvl w:ilvl="0" w:tplc="63BEC670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3463A92"/>
    <w:multiLevelType w:val="hybridMultilevel"/>
    <w:tmpl w:val="417E0F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8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2175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5D19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938D11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85D19"/>
    <w:pPr>
      <w:ind w:left="720"/>
      <w:contextualSpacing/>
    </w:pPr>
    <w:rPr>
      <w:sz w:val="26"/>
    </w:rPr>
  </w:style>
  <w:style w:type="character" w:styleId="Forte">
    <w:name w:val="Strong"/>
    <w:basedOn w:val="Fontepargpadro"/>
    <w:uiPriority w:val="22"/>
    <w:qFormat/>
    <w:rsid w:val="00D85D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88422-BE70-46EA-A316-A9D15F501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1010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6452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2024-06-14T11:02:00Z</dcterms:created>
  <dcterms:modified xsi:type="dcterms:W3CDTF">2024-06-14T11:02:00Z</dcterms:modified>
</cp:coreProperties>
</file>