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F04A9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796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F04A9D" w:rsidRPr="00F04A9D">
        <w:rPr>
          <w:rFonts w:asciiTheme="minorHAnsi" w:eastAsia="Times New Roman" w:hAnsiTheme="minorHAnsi" w:cstheme="minorHAnsi"/>
          <w:sz w:val="24"/>
          <w:szCs w:val="24"/>
          <w:lang w:eastAsia="pt-BR"/>
        </w:rPr>
        <w:t>que, por meio das Secretarias e órgãos de trânsito competentes, realize estudos de viabilidade para a implementação de um Programa Municipal de Mobilidade Ativa Segura, visando regulamentar, fiscalizar e promover campanhas de conscientização sobre o tráfego de bicicletas elétricas no âmbito do Município de Pedro Leopoldo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F04A9D" w:rsidRPr="00F04A9D" w:rsidRDefault="00F04A9D" w:rsidP="00F04A9D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04A9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fundamenta-se na necessidade urgente de instituir uma política pública </w:t>
      </w:r>
      <w:proofErr w:type="spellStart"/>
      <w:r w:rsidRPr="00F04A9D">
        <w:rPr>
          <w:rFonts w:asciiTheme="minorHAnsi" w:eastAsia="Times New Roman" w:hAnsiTheme="minorHAnsi" w:cstheme="minorHAnsi"/>
          <w:sz w:val="24"/>
          <w:szCs w:val="24"/>
          <w:lang w:eastAsia="pt-BR"/>
        </w:rPr>
        <w:t>intersetorial</w:t>
      </w:r>
      <w:proofErr w:type="spellEnd"/>
      <w:r w:rsidRPr="00F04A9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voltada à organização do tráfego urbano, à proteção dos pedestres e à segurança viária em nosso município, diante do crescimento desordenado do fluxo de bicicletas elétricas. </w:t>
      </w:r>
    </w:p>
    <w:p w:rsidR="00F04A9D" w:rsidRPr="00F04A9D" w:rsidRDefault="00F04A9D" w:rsidP="00F04A9D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04A9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implementação deste programa permitirá atingir os seguintes objetivos: </w:t>
      </w:r>
    </w:p>
    <w:p w:rsidR="00F04A9D" w:rsidRPr="00F04A9D" w:rsidRDefault="00F04A9D" w:rsidP="00F04A9D">
      <w:pPr>
        <w:pStyle w:val="PargrafodaLista"/>
        <w:numPr>
          <w:ilvl w:val="0"/>
          <w:numId w:val="21"/>
        </w:num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04A9D">
        <w:rPr>
          <w:rFonts w:asciiTheme="minorHAnsi" w:eastAsia="Times New Roman" w:hAnsiTheme="minorHAnsi" w:cstheme="minorHAnsi"/>
          <w:sz w:val="24"/>
          <w:szCs w:val="24"/>
          <w:lang w:eastAsia="pt-BR"/>
        </w:rPr>
        <w:t>Cumprimento do Código de Trânsito Brasileiro (CTB): Garantir a aplicação prática da Resolução nº 996 do CONTRAN, que submete as bicicletas elétricas às mesmas normas de conduta e circulação dos veículos comuns previstas no CTB, coibindo o tráfego na contramão e o desrespeito à sinalização.</w:t>
      </w:r>
    </w:p>
    <w:p w:rsidR="00F04A9D" w:rsidRPr="00F04A9D" w:rsidRDefault="00F04A9D" w:rsidP="00F04A9D">
      <w:pPr>
        <w:pStyle w:val="PargrafodaLista"/>
        <w:numPr>
          <w:ilvl w:val="0"/>
          <w:numId w:val="21"/>
        </w:num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04A9D">
        <w:rPr>
          <w:rFonts w:asciiTheme="minorHAnsi" w:eastAsia="Times New Roman" w:hAnsiTheme="minorHAnsi" w:cstheme="minorHAnsi"/>
          <w:sz w:val="24"/>
          <w:szCs w:val="24"/>
          <w:lang w:eastAsia="pt-BR"/>
        </w:rPr>
        <w:t>Segurança dos Pedestres e Coibição de Abusos: Garantir o direito de ir e vir dos cidadãos em segurança, combatendo a velocidade incompatível com as vias urbanas e a invasão de calçadas e passeios públicos destinados exclusivamente aos pedestres.</w:t>
      </w:r>
    </w:p>
    <w:p w:rsidR="00F04A9D" w:rsidRPr="00F04A9D" w:rsidRDefault="00F04A9D" w:rsidP="00F04A9D">
      <w:pPr>
        <w:pStyle w:val="PargrafodaLista"/>
        <w:numPr>
          <w:ilvl w:val="0"/>
          <w:numId w:val="21"/>
        </w:num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04A9D">
        <w:rPr>
          <w:rFonts w:asciiTheme="minorHAnsi" w:eastAsia="Times New Roman" w:hAnsiTheme="minorHAnsi" w:cstheme="minorHAnsi"/>
          <w:sz w:val="24"/>
          <w:szCs w:val="24"/>
          <w:lang w:eastAsia="pt-BR"/>
        </w:rPr>
        <w:t>Fiscalização de Fraudes Mecânicas: Oferecer aos agentes municipais o suporte necessário para fiscalizar e reter equipamentos modificados ilegalmente com aceleradores manuais, os quais descaracterizam a condição de bicicleta e passam a se enquadrar como ciclomotores.</w:t>
      </w:r>
    </w:p>
    <w:p w:rsidR="00F04A9D" w:rsidRPr="00F04A9D" w:rsidRDefault="00F04A9D" w:rsidP="00F04A9D">
      <w:pPr>
        <w:pStyle w:val="PargrafodaLista"/>
        <w:numPr>
          <w:ilvl w:val="0"/>
          <w:numId w:val="21"/>
        </w:num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04A9D">
        <w:rPr>
          <w:rFonts w:asciiTheme="minorHAnsi" w:eastAsia="Times New Roman" w:hAnsiTheme="minorHAnsi" w:cstheme="minorHAnsi"/>
          <w:sz w:val="24"/>
          <w:szCs w:val="24"/>
          <w:lang w:eastAsia="pt-BR"/>
        </w:rPr>
        <w:t>Conscientização Escolar e Comunitária: Promover ações informativas nas escolas locais e junto aos estabelecimentos comerciais que revendem esses veículos, orientando os jovens e compradores sobre seus direitos e deveres no trânsito.</w:t>
      </w:r>
    </w:p>
    <w:p w:rsidR="001C2D93" w:rsidRDefault="00F04A9D" w:rsidP="00F04A9D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04A9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medida proposta respeita rigorosamente a autonomia administrativa do Poder </w:t>
      </w:r>
      <w:bookmarkStart w:id="0" w:name="_GoBack"/>
      <w:bookmarkEnd w:id="0"/>
      <w:r w:rsidRPr="00F04A9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Executivo,</w:t>
      </w:r>
      <w:r w:rsidRPr="00F04A9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cabendo às pastas e autoridades envolvidas a elaboração do regulamento específico, critérios de fiscalização e organização orçamentária para a execução das ações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  <w:r w:rsidR="00F04A9D">
        <w:rPr>
          <w:rFonts w:asciiTheme="minorHAnsi" w:hAnsiTheme="minorHAnsi" w:cstheme="minorHAnsi"/>
          <w:sz w:val="24"/>
          <w:szCs w:val="24"/>
        </w:rPr>
        <w:br/>
      </w:r>
    </w:p>
    <w:p w:rsidR="00CD27E4" w:rsidRPr="00F86A48" w:rsidRDefault="00F04A9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04A9D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2D1BD3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1FB6961"/>
    <w:multiLevelType w:val="hybridMultilevel"/>
    <w:tmpl w:val="03006B90"/>
    <w:lvl w:ilvl="0" w:tplc="8DBE5944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8A62993"/>
    <w:multiLevelType w:val="hybridMultilevel"/>
    <w:tmpl w:val="498E3A9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"/>
  </w:num>
  <w:num w:numId="3">
    <w:abstractNumId w:val="10"/>
  </w:num>
  <w:num w:numId="4">
    <w:abstractNumId w:val="4"/>
  </w:num>
  <w:num w:numId="5">
    <w:abstractNumId w:val="18"/>
  </w:num>
  <w:num w:numId="6">
    <w:abstractNumId w:val="6"/>
  </w:num>
  <w:num w:numId="7">
    <w:abstractNumId w:val="19"/>
  </w:num>
  <w:num w:numId="8">
    <w:abstractNumId w:val="11"/>
  </w:num>
  <w:num w:numId="9">
    <w:abstractNumId w:val="16"/>
  </w:num>
  <w:num w:numId="10">
    <w:abstractNumId w:val="0"/>
  </w:num>
  <w:num w:numId="11">
    <w:abstractNumId w:val="14"/>
  </w:num>
  <w:num w:numId="12">
    <w:abstractNumId w:val="3"/>
  </w:num>
  <w:num w:numId="13">
    <w:abstractNumId w:val="7"/>
  </w:num>
  <w:num w:numId="14">
    <w:abstractNumId w:val="12"/>
  </w:num>
  <w:num w:numId="15">
    <w:abstractNumId w:val="17"/>
  </w:num>
  <w:num w:numId="16">
    <w:abstractNumId w:val="5"/>
  </w:num>
  <w:num w:numId="17">
    <w:abstractNumId w:val="2"/>
  </w:num>
  <w:num w:numId="18">
    <w:abstractNumId w:val="8"/>
  </w:num>
  <w:num w:numId="19">
    <w:abstractNumId w:val="15"/>
  </w:num>
  <w:num w:numId="20">
    <w:abstractNumId w:val="13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1BD3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0572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4A9D"/>
    <w:rsid w:val="00F053BA"/>
    <w:rsid w:val="00F11DF8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ecimalSymbol w:val=","/>
  <w:listSeparator w:val=";"/>
  <w14:docId w14:val="2841BDBD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273E96C-50B2-4C9D-8CCA-65052B361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350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115</cp:revision>
  <cp:lastPrinted>2023-06-23T16:25:00Z</cp:lastPrinted>
  <dcterms:created xsi:type="dcterms:W3CDTF">2026-02-09T16:25:00Z</dcterms:created>
  <dcterms:modified xsi:type="dcterms:W3CDTF">2026-05-22T12:45:00Z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