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777" w:rsidRPr="0067106A" w:rsidRDefault="009335AD" w:rsidP="0067106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106A">
        <w:rPr>
          <w:rFonts w:ascii="Times New Roman" w:hAnsi="Times New Roman" w:cs="Times New Roman"/>
          <w:b/>
          <w:sz w:val="24"/>
          <w:szCs w:val="24"/>
        </w:rPr>
        <w:t xml:space="preserve">PROJETO DE </w:t>
      </w:r>
      <w:r w:rsidR="00573777" w:rsidRPr="0067106A">
        <w:rPr>
          <w:rFonts w:ascii="Times New Roman" w:hAnsi="Times New Roman" w:cs="Times New Roman"/>
          <w:b/>
          <w:sz w:val="24"/>
          <w:szCs w:val="24"/>
        </w:rPr>
        <w:t xml:space="preserve">LEI COMPLEMENTAR Nº. </w:t>
      </w:r>
      <w:r w:rsidR="001527D9">
        <w:rPr>
          <w:rFonts w:ascii="Times New Roman" w:hAnsi="Times New Roman" w:cs="Times New Roman"/>
          <w:b/>
          <w:sz w:val="24"/>
          <w:szCs w:val="24"/>
        </w:rPr>
        <w:t>01/2022</w:t>
      </w:r>
    </w:p>
    <w:p w:rsidR="00573777" w:rsidRPr="0067106A" w:rsidRDefault="00573777" w:rsidP="0067106A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73777" w:rsidRPr="0067106A" w:rsidRDefault="00573777" w:rsidP="0067106A">
      <w:pPr>
        <w:spacing w:after="0" w:line="360" w:lineRule="auto"/>
        <w:ind w:left="3828"/>
        <w:jc w:val="both"/>
        <w:rPr>
          <w:rFonts w:ascii="Times New Roman" w:hAnsi="Times New Roman" w:cs="Times New Roman"/>
          <w:sz w:val="24"/>
          <w:szCs w:val="24"/>
        </w:rPr>
      </w:pPr>
      <w:r w:rsidRPr="0067106A">
        <w:rPr>
          <w:rFonts w:ascii="Times New Roman" w:hAnsi="Times New Roman" w:cs="Times New Roman"/>
          <w:sz w:val="24"/>
          <w:szCs w:val="24"/>
        </w:rPr>
        <w:t xml:space="preserve"> </w:t>
      </w:r>
      <w:r w:rsidR="00F67896" w:rsidRPr="0067106A">
        <w:rPr>
          <w:rFonts w:ascii="Times New Roman" w:hAnsi="Times New Roman" w:cs="Times New Roman"/>
          <w:sz w:val="24"/>
          <w:szCs w:val="24"/>
        </w:rPr>
        <w:t xml:space="preserve">“Acrescenta o </w:t>
      </w:r>
      <w:r w:rsidR="009335AD" w:rsidRPr="0067106A">
        <w:rPr>
          <w:rFonts w:ascii="Times New Roman" w:hAnsi="Times New Roman" w:cs="Times New Roman"/>
          <w:sz w:val="24"/>
          <w:szCs w:val="24"/>
        </w:rPr>
        <w:t>art. 78-A ao</w:t>
      </w:r>
      <w:r w:rsidR="00B60D46" w:rsidRPr="0067106A">
        <w:rPr>
          <w:rFonts w:ascii="Times New Roman" w:hAnsi="Times New Roman" w:cs="Times New Roman"/>
          <w:sz w:val="24"/>
          <w:szCs w:val="24"/>
        </w:rPr>
        <w:t xml:space="preserve"> Código T</w:t>
      </w:r>
      <w:r w:rsidR="00F67896" w:rsidRPr="0067106A">
        <w:rPr>
          <w:rFonts w:ascii="Times New Roman" w:hAnsi="Times New Roman" w:cs="Times New Roman"/>
          <w:sz w:val="24"/>
          <w:szCs w:val="24"/>
        </w:rPr>
        <w:t>ributário Municipal</w:t>
      </w:r>
      <w:r w:rsidR="009335AD" w:rsidRPr="0067106A">
        <w:rPr>
          <w:rFonts w:ascii="Times New Roman" w:hAnsi="Times New Roman" w:cs="Times New Roman"/>
          <w:sz w:val="24"/>
          <w:szCs w:val="24"/>
        </w:rPr>
        <w:t xml:space="preserve">, Lei nº 1.328/06, instituindo a </w:t>
      </w:r>
      <w:r w:rsidR="00760D0E" w:rsidRPr="0067106A">
        <w:rPr>
          <w:rFonts w:ascii="Times New Roman" w:hAnsi="Times New Roman" w:cs="Times New Roman"/>
          <w:sz w:val="24"/>
          <w:szCs w:val="24"/>
        </w:rPr>
        <w:t>Taxa de Turismo e Preservação na Vila de Conceição de Ibitipoca</w:t>
      </w:r>
      <w:r w:rsidR="00F67896" w:rsidRPr="0067106A">
        <w:rPr>
          <w:rFonts w:ascii="Times New Roman" w:hAnsi="Times New Roman" w:cs="Times New Roman"/>
          <w:sz w:val="24"/>
          <w:szCs w:val="24"/>
        </w:rPr>
        <w:t>”</w:t>
      </w:r>
      <w:r w:rsidRPr="0067106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73777" w:rsidRPr="0067106A" w:rsidRDefault="00573777" w:rsidP="006710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3777" w:rsidRPr="0067106A" w:rsidRDefault="00573777" w:rsidP="006710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106A">
        <w:rPr>
          <w:rFonts w:ascii="Times New Roman" w:hAnsi="Times New Roman" w:cs="Times New Roman"/>
          <w:sz w:val="24"/>
          <w:szCs w:val="24"/>
        </w:rPr>
        <w:t xml:space="preserve"> A Câmara Mun</w:t>
      </w:r>
      <w:r w:rsidR="00EF2962">
        <w:rPr>
          <w:rFonts w:ascii="Times New Roman" w:hAnsi="Times New Roman" w:cs="Times New Roman"/>
          <w:sz w:val="24"/>
          <w:szCs w:val="24"/>
        </w:rPr>
        <w:t>icipal de Lima Duarte aprova e a Prefeita</w:t>
      </w:r>
      <w:r w:rsidRPr="0067106A">
        <w:rPr>
          <w:rFonts w:ascii="Times New Roman" w:hAnsi="Times New Roman" w:cs="Times New Roman"/>
          <w:sz w:val="24"/>
          <w:szCs w:val="24"/>
        </w:rPr>
        <w:t xml:space="preserve"> Municipal sanciona a seguinte Lei: </w:t>
      </w:r>
    </w:p>
    <w:p w:rsidR="00573777" w:rsidRPr="0067106A" w:rsidRDefault="00573777" w:rsidP="006710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3777" w:rsidRPr="0067106A" w:rsidRDefault="00573777" w:rsidP="006710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106A">
        <w:rPr>
          <w:rFonts w:ascii="Times New Roman" w:hAnsi="Times New Roman" w:cs="Times New Roman"/>
          <w:sz w:val="24"/>
          <w:szCs w:val="24"/>
        </w:rPr>
        <w:t xml:space="preserve">Art. 1° Fica acrescido </w:t>
      </w:r>
      <w:r w:rsidR="008914EB" w:rsidRPr="0067106A">
        <w:rPr>
          <w:rFonts w:ascii="Times New Roman" w:hAnsi="Times New Roman" w:cs="Times New Roman"/>
          <w:sz w:val="24"/>
          <w:szCs w:val="24"/>
        </w:rPr>
        <w:t>ao Código Tributário Municipal, Lei nº 1.328/06</w:t>
      </w:r>
      <w:r w:rsidRPr="0067106A">
        <w:rPr>
          <w:rFonts w:ascii="Times New Roman" w:hAnsi="Times New Roman" w:cs="Times New Roman"/>
          <w:sz w:val="24"/>
          <w:szCs w:val="24"/>
        </w:rPr>
        <w:t xml:space="preserve">, </w:t>
      </w:r>
      <w:r w:rsidR="0066241C" w:rsidRPr="0067106A">
        <w:rPr>
          <w:rFonts w:ascii="Times New Roman" w:hAnsi="Times New Roman" w:cs="Times New Roman"/>
          <w:sz w:val="24"/>
          <w:szCs w:val="24"/>
        </w:rPr>
        <w:t xml:space="preserve">o Art. 78-A, </w:t>
      </w:r>
      <w:r w:rsidRPr="0067106A">
        <w:rPr>
          <w:rFonts w:ascii="Times New Roman" w:hAnsi="Times New Roman" w:cs="Times New Roman"/>
          <w:sz w:val="24"/>
          <w:szCs w:val="24"/>
        </w:rPr>
        <w:t xml:space="preserve">com a seguinte redação: </w:t>
      </w:r>
    </w:p>
    <w:p w:rsidR="00573777" w:rsidRPr="0067106A" w:rsidRDefault="00573777" w:rsidP="006710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3777" w:rsidRPr="0067106A" w:rsidRDefault="0066241C" w:rsidP="0067106A">
      <w:pPr>
        <w:spacing w:after="0" w:line="360" w:lineRule="auto"/>
        <w:ind w:left="2124"/>
        <w:jc w:val="both"/>
        <w:rPr>
          <w:rFonts w:ascii="Times New Roman" w:hAnsi="Times New Roman" w:cs="Times New Roman"/>
          <w:sz w:val="24"/>
          <w:szCs w:val="24"/>
        </w:rPr>
      </w:pPr>
      <w:r w:rsidRPr="0067106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14A76">
        <w:rPr>
          <w:rFonts w:ascii="Times New Roman" w:hAnsi="Times New Roman" w:cs="Times New Roman"/>
          <w:sz w:val="24"/>
          <w:szCs w:val="24"/>
        </w:rPr>
        <w:t>“</w:t>
      </w:r>
      <w:r w:rsidRPr="0067106A">
        <w:rPr>
          <w:rFonts w:ascii="Times New Roman" w:hAnsi="Times New Roman" w:cs="Times New Roman"/>
          <w:sz w:val="24"/>
          <w:szCs w:val="24"/>
        </w:rPr>
        <w:t>Art. 78</w:t>
      </w:r>
      <w:r w:rsidR="00573777" w:rsidRPr="0067106A">
        <w:rPr>
          <w:rFonts w:ascii="Times New Roman" w:hAnsi="Times New Roman" w:cs="Times New Roman"/>
          <w:sz w:val="24"/>
          <w:szCs w:val="24"/>
        </w:rPr>
        <w:t>-A.</w:t>
      </w:r>
      <w:proofErr w:type="gramEnd"/>
      <w:r w:rsidR="00573777" w:rsidRPr="0067106A">
        <w:rPr>
          <w:rFonts w:ascii="Times New Roman" w:hAnsi="Times New Roman" w:cs="Times New Roman"/>
          <w:sz w:val="24"/>
          <w:szCs w:val="24"/>
        </w:rPr>
        <w:t xml:space="preserve"> </w:t>
      </w:r>
      <w:r w:rsidRPr="0067106A">
        <w:rPr>
          <w:rFonts w:ascii="Times New Roman" w:hAnsi="Times New Roman" w:cs="Times New Roman"/>
          <w:sz w:val="24"/>
          <w:szCs w:val="24"/>
        </w:rPr>
        <w:t>Fica instituída a Taxa de Turismo e Preservação, no valor de R$20,00 (vinte reais), por visitante, que permitirá a permanência de até 07 (sete) dias na Vila de Conceição de Ibitipoca, tendo como fato gerador o exercício regular do poder de polícia</w:t>
      </w:r>
      <w:r w:rsidR="00BD0E67" w:rsidRPr="0067106A">
        <w:rPr>
          <w:rFonts w:ascii="Times New Roman" w:hAnsi="Times New Roman" w:cs="Times New Roman"/>
          <w:sz w:val="24"/>
          <w:szCs w:val="24"/>
        </w:rPr>
        <w:t xml:space="preserve">, visando </w:t>
      </w:r>
      <w:r w:rsidR="008A2711" w:rsidRPr="0067106A">
        <w:rPr>
          <w:rFonts w:ascii="Times New Roman" w:hAnsi="Times New Roman" w:cs="Times New Roman"/>
          <w:sz w:val="24"/>
          <w:szCs w:val="24"/>
        </w:rPr>
        <w:t>à</w:t>
      </w:r>
      <w:r w:rsidR="00BD0E67" w:rsidRPr="0067106A">
        <w:rPr>
          <w:rFonts w:ascii="Times New Roman" w:hAnsi="Times New Roman" w:cs="Times New Roman"/>
          <w:sz w:val="24"/>
          <w:szCs w:val="24"/>
        </w:rPr>
        <w:t xml:space="preserve"> proteção e conservação, em função da degradação e do impacto ambiental, incidente sobre o trânsito e permanência de pessoas na vila mencionada, utilizando sua infraestrutura física efetiva ou potencial, e o acesso ao patrimônio natural.</w:t>
      </w:r>
    </w:p>
    <w:p w:rsidR="00BD0E67" w:rsidRPr="0067106A" w:rsidRDefault="00403F13" w:rsidP="0067106A">
      <w:pPr>
        <w:spacing w:after="0" w:line="360" w:lineRule="auto"/>
        <w:ind w:left="2124"/>
        <w:jc w:val="both"/>
        <w:rPr>
          <w:rFonts w:ascii="Times New Roman" w:hAnsi="Times New Roman" w:cs="Times New Roman"/>
          <w:vanish/>
          <w:sz w:val="24"/>
          <w:szCs w:val="24"/>
          <w:specVanish/>
        </w:rPr>
      </w:pPr>
      <w:r w:rsidRPr="0067106A">
        <w:rPr>
          <w:rFonts w:ascii="Times New Roman" w:hAnsi="Times New Roman" w:cs="Times New Roman"/>
          <w:sz w:val="24"/>
          <w:szCs w:val="24"/>
        </w:rPr>
        <w:t>§1º</w:t>
      </w:r>
    </w:p>
    <w:p w:rsidR="00266B14" w:rsidRPr="0067106A" w:rsidRDefault="00403F13" w:rsidP="0067106A">
      <w:pPr>
        <w:spacing w:after="0" w:line="360" w:lineRule="auto"/>
        <w:ind w:left="2124"/>
        <w:jc w:val="both"/>
        <w:rPr>
          <w:rFonts w:ascii="Times New Roman" w:hAnsi="Times New Roman" w:cs="Times New Roman"/>
          <w:sz w:val="24"/>
          <w:szCs w:val="24"/>
        </w:rPr>
      </w:pPr>
      <w:r w:rsidRPr="0067106A">
        <w:rPr>
          <w:rFonts w:ascii="Times New Roman" w:hAnsi="Times New Roman" w:cs="Times New Roman"/>
          <w:sz w:val="24"/>
          <w:szCs w:val="24"/>
        </w:rPr>
        <w:t>. O sujeito passivo da presenta taxa é o visitante, com residência e/ou domicílio fora do território do Município de Lima Duarte, sendo pessoal e intransferível.</w:t>
      </w:r>
    </w:p>
    <w:p w:rsidR="00403F13" w:rsidRDefault="0067106A" w:rsidP="0067106A">
      <w:pPr>
        <w:spacing w:after="0" w:line="360" w:lineRule="auto"/>
        <w:ind w:left="2124"/>
        <w:jc w:val="both"/>
        <w:rPr>
          <w:rFonts w:ascii="Times New Roman" w:hAnsi="Times New Roman" w:cs="Times New Roman"/>
          <w:sz w:val="24"/>
          <w:szCs w:val="24"/>
        </w:rPr>
      </w:pPr>
      <w:r w:rsidRPr="0067106A">
        <w:rPr>
          <w:rFonts w:ascii="Times New Roman" w:hAnsi="Times New Roman" w:cs="Times New Roman"/>
          <w:sz w:val="24"/>
          <w:szCs w:val="24"/>
        </w:rPr>
        <w:t xml:space="preserve">§2º. </w:t>
      </w:r>
      <w:r>
        <w:rPr>
          <w:rFonts w:ascii="Times New Roman" w:hAnsi="Times New Roman" w:cs="Times New Roman"/>
          <w:sz w:val="24"/>
          <w:szCs w:val="24"/>
        </w:rPr>
        <w:t>A Taxa de Turismo e Preservação terá sua cobrança efetuada na entrada da Vila de Conceição de Ibitipoca e demais pontos estabelecidos pelo Poder Executivo</w:t>
      </w:r>
      <w:r w:rsidR="00CB1F28">
        <w:rPr>
          <w:rFonts w:ascii="Times New Roman" w:hAnsi="Times New Roman" w:cs="Times New Roman"/>
          <w:sz w:val="24"/>
          <w:szCs w:val="24"/>
        </w:rPr>
        <w:t>, bem como através de sítio eletrônico.</w:t>
      </w:r>
    </w:p>
    <w:p w:rsidR="004A4046" w:rsidRDefault="00CB1F28" w:rsidP="004A4046">
      <w:pPr>
        <w:spacing w:after="0" w:line="360" w:lineRule="auto"/>
        <w:ind w:left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§3º. A rede hoteleira</w:t>
      </w:r>
      <w:r w:rsidR="00267677">
        <w:rPr>
          <w:rFonts w:ascii="Times New Roman" w:hAnsi="Times New Roman" w:cs="Times New Roman"/>
          <w:sz w:val="24"/>
          <w:szCs w:val="24"/>
        </w:rPr>
        <w:t>, assim como o setor de ‘</w:t>
      </w:r>
      <w:r w:rsidR="00267677" w:rsidRPr="00267677">
        <w:rPr>
          <w:rFonts w:ascii="Times New Roman" w:hAnsi="Times New Roman" w:cs="Times New Roman"/>
          <w:i/>
          <w:sz w:val="24"/>
          <w:szCs w:val="24"/>
        </w:rPr>
        <w:t>Camping</w:t>
      </w:r>
      <w:r w:rsidR="00267677">
        <w:rPr>
          <w:rFonts w:ascii="Times New Roman" w:hAnsi="Times New Roman" w:cs="Times New Roman"/>
          <w:i/>
          <w:sz w:val="24"/>
          <w:szCs w:val="24"/>
        </w:rPr>
        <w:t>’</w:t>
      </w:r>
      <w:r w:rsidR="00267677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267677">
        <w:rPr>
          <w:rFonts w:ascii="Times New Roman" w:hAnsi="Times New Roman" w:cs="Times New Roman"/>
          <w:sz w:val="24"/>
          <w:szCs w:val="24"/>
        </w:rPr>
        <w:t>deverão</w:t>
      </w:r>
      <w:r>
        <w:rPr>
          <w:rFonts w:ascii="Times New Roman" w:hAnsi="Times New Roman" w:cs="Times New Roman"/>
          <w:sz w:val="24"/>
          <w:szCs w:val="24"/>
        </w:rPr>
        <w:t xml:space="preserve"> solicitar</w:t>
      </w:r>
      <w:proofErr w:type="gramEnd"/>
      <w:r>
        <w:rPr>
          <w:rFonts w:ascii="Times New Roman" w:hAnsi="Times New Roman" w:cs="Times New Roman"/>
          <w:sz w:val="24"/>
          <w:szCs w:val="24"/>
        </w:rPr>
        <w:t>, no momento do check-in</w:t>
      </w:r>
      <w:r w:rsidR="00267677">
        <w:rPr>
          <w:rFonts w:ascii="Times New Roman" w:hAnsi="Times New Roman" w:cs="Times New Roman"/>
          <w:sz w:val="24"/>
          <w:szCs w:val="24"/>
        </w:rPr>
        <w:t>,</w:t>
      </w:r>
      <w:r w:rsidR="004A4046">
        <w:rPr>
          <w:rFonts w:ascii="Times New Roman" w:hAnsi="Times New Roman" w:cs="Times New Roman"/>
          <w:sz w:val="24"/>
          <w:szCs w:val="24"/>
        </w:rPr>
        <w:t xml:space="preserve"> o Voucher de pagamento da taxa.</w:t>
      </w:r>
    </w:p>
    <w:p w:rsidR="004A4046" w:rsidRDefault="004A4046" w:rsidP="004A4046">
      <w:pPr>
        <w:spacing w:after="0" w:line="360" w:lineRule="auto"/>
        <w:ind w:left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§4º. O turista que escusar-se do pagamento será inscrito no cadastro de dívida ativa do Município.</w:t>
      </w:r>
    </w:p>
    <w:p w:rsidR="004A4046" w:rsidRDefault="00CF3DB1" w:rsidP="004A4046">
      <w:pPr>
        <w:spacing w:after="0" w:line="360" w:lineRule="auto"/>
        <w:ind w:left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§5º. São isentos do pagamento da Taxa de Turismo e Preservação:</w:t>
      </w:r>
    </w:p>
    <w:p w:rsidR="00CF3DB1" w:rsidRDefault="00CF3DB1" w:rsidP="004A4046">
      <w:pPr>
        <w:spacing w:after="0" w:line="360" w:lineRule="auto"/>
        <w:ind w:left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Os maiores de 60 (sessenta) anos e os menores de 12 (doze) anos de idade;</w:t>
      </w:r>
    </w:p>
    <w:p w:rsidR="00CF3DB1" w:rsidRDefault="00CF3DB1" w:rsidP="004A4046">
      <w:pPr>
        <w:spacing w:after="0" w:line="360" w:lineRule="auto"/>
        <w:ind w:left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As pessoas com deficiência;</w:t>
      </w:r>
    </w:p>
    <w:p w:rsidR="00CF3DB1" w:rsidRDefault="00CF3DB1" w:rsidP="004A4046">
      <w:pPr>
        <w:spacing w:after="0" w:line="360" w:lineRule="auto"/>
        <w:ind w:left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Os moradores do Município de Lima Duarte;</w:t>
      </w:r>
    </w:p>
    <w:p w:rsidR="00CF3DB1" w:rsidRDefault="00CF3DB1" w:rsidP="004A4046">
      <w:pPr>
        <w:spacing w:after="0" w:line="360" w:lineRule="auto"/>
        <w:ind w:left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Os trabalhadores da vila e os prestadores de serviço;</w:t>
      </w:r>
    </w:p>
    <w:p w:rsidR="00306A96" w:rsidRDefault="00CF3BD2" w:rsidP="00FD5003">
      <w:pPr>
        <w:spacing w:after="0" w:line="360" w:lineRule="auto"/>
        <w:ind w:left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§6º. A isenção será comprovada mediante apr</w:t>
      </w:r>
      <w:r w:rsidR="00696F23">
        <w:rPr>
          <w:rFonts w:ascii="Times New Roman" w:hAnsi="Times New Roman" w:cs="Times New Roman"/>
          <w:sz w:val="24"/>
          <w:szCs w:val="24"/>
        </w:rPr>
        <w:t>esentação de documento hábil</w:t>
      </w:r>
      <w:r w:rsidR="00563ABD">
        <w:rPr>
          <w:rFonts w:ascii="Times New Roman" w:hAnsi="Times New Roman" w:cs="Times New Roman"/>
          <w:sz w:val="24"/>
          <w:szCs w:val="24"/>
        </w:rPr>
        <w:t>.</w:t>
      </w:r>
    </w:p>
    <w:p w:rsidR="00AF21EC" w:rsidRDefault="00306A96" w:rsidP="00306A96">
      <w:pPr>
        <w:spacing w:after="0" w:line="360" w:lineRule="auto"/>
        <w:ind w:left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§7º.</w:t>
      </w:r>
      <w:r w:rsidRPr="00306A96">
        <w:rPr>
          <w:rFonts w:ascii="Times New Roman" w:hAnsi="Times New Roman" w:cs="Times New Roman"/>
          <w:sz w:val="24"/>
          <w:szCs w:val="24"/>
        </w:rPr>
        <w:t xml:space="preserve"> Fica o Poder Executivo Municipal autorizado a instaurar procedimento licitatório para a concessão dos serviços de gestão do sistema e cobrança da taxa.</w:t>
      </w:r>
    </w:p>
    <w:p w:rsidR="00403F13" w:rsidRDefault="00AF21EC" w:rsidP="00306A96">
      <w:pPr>
        <w:spacing w:after="0" w:line="360" w:lineRule="auto"/>
        <w:ind w:left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§8º. </w:t>
      </w:r>
      <w:proofErr w:type="gramStart"/>
      <w:r>
        <w:rPr>
          <w:rFonts w:ascii="Times New Roman" w:hAnsi="Times New Roman" w:cs="Times New Roman"/>
          <w:sz w:val="24"/>
          <w:szCs w:val="24"/>
        </w:rPr>
        <w:t>O Poder Executivo Municipal expedirá decreto regulamentando a cobrança da taxa</w:t>
      </w:r>
      <w:r w:rsidR="00EF2962">
        <w:rPr>
          <w:rFonts w:ascii="Times New Roman" w:hAnsi="Times New Roman" w:cs="Times New Roman"/>
          <w:sz w:val="24"/>
          <w:szCs w:val="24"/>
        </w:rPr>
        <w:t>”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D5003" w:rsidRPr="0067106A" w:rsidRDefault="00FD5003" w:rsidP="00FD5003">
      <w:pPr>
        <w:spacing w:after="0" w:line="360" w:lineRule="auto"/>
        <w:ind w:left="2124"/>
        <w:jc w:val="both"/>
        <w:rPr>
          <w:rFonts w:ascii="Times New Roman" w:hAnsi="Times New Roman" w:cs="Times New Roman"/>
          <w:sz w:val="24"/>
          <w:szCs w:val="24"/>
        </w:rPr>
      </w:pPr>
    </w:p>
    <w:p w:rsidR="00345595" w:rsidRDefault="00266B14" w:rsidP="006710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106A">
        <w:rPr>
          <w:rFonts w:ascii="Times New Roman" w:hAnsi="Times New Roman" w:cs="Times New Roman"/>
          <w:sz w:val="24"/>
          <w:szCs w:val="24"/>
        </w:rPr>
        <w:t xml:space="preserve">Art. 2º - </w:t>
      </w:r>
      <w:r w:rsidR="00345595">
        <w:rPr>
          <w:rFonts w:ascii="Times New Roman" w:hAnsi="Times New Roman" w:cs="Times New Roman"/>
          <w:sz w:val="24"/>
          <w:szCs w:val="24"/>
        </w:rPr>
        <w:t>As despesas decorrentes com a execução da presente Lei correrão por conta do Orçamento Fiscal vigente.</w:t>
      </w:r>
    </w:p>
    <w:p w:rsidR="00345595" w:rsidRDefault="00345595" w:rsidP="006710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5595" w:rsidRDefault="00345595" w:rsidP="006710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 3º. </w:t>
      </w:r>
      <w:r w:rsidR="00266B14" w:rsidRPr="0067106A">
        <w:rPr>
          <w:rFonts w:ascii="Times New Roman" w:hAnsi="Times New Roman" w:cs="Times New Roman"/>
          <w:sz w:val="24"/>
          <w:szCs w:val="24"/>
        </w:rPr>
        <w:t>Esta Lei entra</w:t>
      </w:r>
      <w:r w:rsidR="00573777" w:rsidRPr="0067106A">
        <w:rPr>
          <w:rFonts w:ascii="Times New Roman" w:hAnsi="Times New Roman" w:cs="Times New Roman"/>
          <w:sz w:val="24"/>
          <w:szCs w:val="24"/>
        </w:rPr>
        <w:t xml:space="preserve"> em vigor </w:t>
      </w:r>
      <w:r w:rsidR="005963A3">
        <w:rPr>
          <w:rFonts w:ascii="Times New Roman" w:hAnsi="Times New Roman" w:cs="Times New Roman"/>
          <w:sz w:val="24"/>
          <w:szCs w:val="24"/>
        </w:rPr>
        <w:t>na data da</w:t>
      </w:r>
      <w:r w:rsidR="00573777" w:rsidRPr="0067106A">
        <w:rPr>
          <w:rFonts w:ascii="Times New Roman" w:hAnsi="Times New Roman" w:cs="Times New Roman"/>
          <w:sz w:val="24"/>
          <w:szCs w:val="24"/>
        </w:rPr>
        <w:t xml:space="preserve"> sua publicação. </w:t>
      </w:r>
    </w:p>
    <w:p w:rsidR="00FD5003" w:rsidRDefault="00FD5003" w:rsidP="006710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5595" w:rsidRPr="0067106A" w:rsidRDefault="00345595" w:rsidP="006710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3777" w:rsidRDefault="00573777" w:rsidP="00FD500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7106A">
        <w:rPr>
          <w:rFonts w:ascii="Times New Roman" w:hAnsi="Times New Roman" w:cs="Times New Roman"/>
          <w:sz w:val="24"/>
          <w:szCs w:val="24"/>
        </w:rPr>
        <w:t xml:space="preserve">Lima Duarte-MG, </w:t>
      </w:r>
      <w:r w:rsidR="00484389">
        <w:rPr>
          <w:rFonts w:ascii="Times New Roman" w:hAnsi="Times New Roman" w:cs="Times New Roman"/>
          <w:sz w:val="24"/>
          <w:szCs w:val="24"/>
        </w:rPr>
        <w:t>12</w:t>
      </w:r>
      <w:r w:rsidR="00345595">
        <w:rPr>
          <w:rFonts w:ascii="Times New Roman" w:hAnsi="Times New Roman" w:cs="Times New Roman"/>
          <w:sz w:val="24"/>
          <w:szCs w:val="24"/>
        </w:rPr>
        <w:t xml:space="preserve"> de </w:t>
      </w:r>
      <w:r w:rsidR="005A31F3">
        <w:rPr>
          <w:rFonts w:ascii="Times New Roman" w:hAnsi="Times New Roman" w:cs="Times New Roman"/>
          <w:sz w:val="24"/>
          <w:szCs w:val="24"/>
        </w:rPr>
        <w:t>janeiro</w:t>
      </w:r>
      <w:r w:rsidR="00814A76">
        <w:rPr>
          <w:rFonts w:ascii="Times New Roman" w:hAnsi="Times New Roman" w:cs="Times New Roman"/>
          <w:sz w:val="24"/>
          <w:szCs w:val="24"/>
        </w:rPr>
        <w:t xml:space="preserve"> de 2022</w:t>
      </w:r>
      <w:r w:rsidR="00743227">
        <w:rPr>
          <w:rFonts w:ascii="Times New Roman" w:hAnsi="Times New Roman" w:cs="Times New Roman"/>
          <w:sz w:val="24"/>
          <w:szCs w:val="24"/>
        </w:rPr>
        <w:t>.</w:t>
      </w:r>
    </w:p>
    <w:p w:rsidR="00345595" w:rsidRPr="0067106A" w:rsidRDefault="00345595" w:rsidP="006710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3777" w:rsidRPr="001522F2" w:rsidRDefault="005E0865" w:rsidP="005E08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22F2">
        <w:rPr>
          <w:rFonts w:ascii="Times New Roman" w:hAnsi="Times New Roman" w:cs="Times New Roman"/>
          <w:b/>
          <w:sz w:val="24"/>
          <w:szCs w:val="24"/>
        </w:rPr>
        <w:t>ELENICE PEREIRA DELGADO SANTELLI</w:t>
      </w:r>
    </w:p>
    <w:p w:rsidR="002E7490" w:rsidRPr="001522F2" w:rsidRDefault="00573777" w:rsidP="005E08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22F2">
        <w:rPr>
          <w:rFonts w:ascii="Times New Roman" w:hAnsi="Times New Roman" w:cs="Times New Roman"/>
          <w:b/>
          <w:sz w:val="24"/>
          <w:szCs w:val="24"/>
        </w:rPr>
        <w:t>Pre</w:t>
      </w:r>
      <w:r w:rsidR="00345595" w:rsidRPr="001522F2">
        <w:rPr>
          <w:rFonts w:ascii="Times New Roman" w:hAnsi="Times New Roman" w:cs="Times New Roman"/>
          <w:b/>
          <w:sz w:val="24"/>
          <w:szCs w:val="24"/>
        </w:rPr>
        <w:t>feita</w:t>
      </w:r>
      <w:r w:rsidRPr="001522F2">
        <w:rPr>
          <w:rFonts w:ascii="Times New Roman" w:hAnsi="Times New Roman" w:cs="Times New Roman"/>
          <w:b/>
          <w:sz w:val="24"/>
          <w:szCs w:val="24"/>
        </w:rPr>
        <w:t xml:space="preserve"> Municipal</w:t>
      </w:r>
    </w:p>
    <w:p w:rsidR="001B4E8D" w:rsidRDefault="001B4E8D" w:rsidP="005E086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B4E8D" w:rsidRDefault="001B4E8D" w:rsidP="005E086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B4E8D" w:rsidRDefault="001B4E8D" w:rsidP="005E086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437C" w:rsidRDefault="00F4437C" w:rsidP="000230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B4E8D" w:rsidRPr="001B4E8D" w:rsidRDefault="001B4E8D" w:rsidP="001B4E8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4E8D">
        <w:rPr>
          <w:rFonts w:ascii="Times New Roman" w:hAnsi="Times New Roman" w:cs="Times New Roman"/>
          <w:b/>
          <w:sz w:val="24"/>
          <w:szCs w:val="24"/>
        </w:rPr>
        <w:t>JUSTIFICATIVA</w:t>
      </w:r>
    </w:p>
    <w:p w:rsidR="001B4E8D" w:rsidRPr="001B4E8D" w:rsidRDefault="001B4E8D" w:rsidP="001B4E8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4E8D">
        <w:rPr>
          <w:rFonts w:ascii="Times New Roman" w:hAnsi="Times New Roman" w:cs="Times New Roman"/>
          <w:sz w:val="24"/>
          <w:szCs w:val="24"/>
        </w:rPr>
        <w:t xml:space="preserve">Senhor Presidente, </w:t>
      </w:r>
    </w:p>
    <w:p w:rsidR="001B4E8D" w:rsidRDefault="001B4E8D" w:rsidP="001B4E8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4E8D">
        <w:rPr>
          <w:rFonts w:ascii="Times New Roman" w:hAnsi="Times New Roman" w:cs="Times New Roman"/>
          <w:sz w:val="24"/>
          <w:szCs w:val="24"/>
        </w:rPr>
        <w:t xml:space="preserve">Senhores Vereadores, </w:t>
      </w:r>
    </w:p>
    <w:p w:rsidR="001B4E8D" w:rsidRPr="001B4E8D" w:rsidRDefault="001B4E8D" w:rsidP="001B4E8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B4E8D" w:rsidRDefault="001B4E8D" w:rsidP="0001694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4E8D">
        <w:rPr>
          <w:rFonts w:ascii="Times New Roman" w:hAnsi="Times New Roman" w:cs="Times New Roman"/>
          <w:sz w:val="24"/>
          <w:szCs w:val="24"/>
        </w:rPr>
        <w:t xml:space="preserve">A proposta visa </w:t>
      </w:r>
      <w:r w:rsidR="00FC6E8B">
        <w:rPr>
          <w:rFonts w:ascii="Times New Roman" w:hAnsi="Times New Roman" w:cs="Times New Roman"/>
          <w:sz w:val="24"/>
          <w:szCs w:val="24"/>
        </w:rPr>
        <w:t>à</w:t>
      </w:r>
      <w:r w:rsidR="0036055D">
        <w:rPr>
          <w:rFonts w:ascii="Times New Roman" w:hAnsi="Times New Roman" w:cs="Times New Roman"/>
          <w:sz w:val="24"/>
          <w:szCs w:val="24"/>
        </w:rPr>
        <w:t xml:space="preserve"> cobrança de taxa de Turismo e Preservação aos visitantes do Distrito de Conceição de Ibitipoca, nesta cidade</w:t>
      </w:r>
      <w:r w:rsidRPr="001B4E8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7468D" w:rsidRDefault="0067468D" w:rsidP="0001694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Como é cediço, o Distrito de Ibitipoca é uma localidade de especial importância turística e econômica, já que nele se encontra o principal acesso ao Parque Estadual de Ibitipoca, que </w:t>
      </w:r>
      <w:r w:rsidR="00FC6E8B">
        <w:rPr>
          <w:rFonts w:ascii="Times New Roman" w:hAnsi="Times New Roman" w:cs="Times New Roman"/>
          <w:sz w:val="24"/>
          <w:szCs w:val="24"/>
        </w:rPr>
        <w:t>está</w:t>
      </w:r>
      <w:r>
        <w:rPr>
          <w:rFonts w:ascii="Times New Roman" w:hAnsi="Times New Roman" w:cs="Times New Roman"/>
          <w:sz w:val="24"/>
          <w:szCs w:val="24"/>
        </w:rPr>
        <w:t xml:space="preserve"> sobre a gerência do Instituto Estadual de Florestas e é o parque Estadual mais visitado de Minas Gerais. </w:t>
      </w:r>
      <w:r w:rsidR="00811070">
        <w:rPr>
          <w:rFonts w:ascii="Times New Roman" w:hAnsi="Times New Roman" w:cs="Times New Roman"/>
          <w:sz w:val="24"/>
          <w:szCs w:val="24"/>
        </w:rPr>
        <w:t>Além disso, a localidade conta com grande número de hotéis, restaurantes e atrações que possuem grande sucesso, dando-lhe renome internacional.</w:t>
      </w:r>
    </w:p>
    <w:p w:rsidR="00FB43FE" w:rsidRPr="001B4E8D" w:rsidRDefault="00746902" w:rsidP="0001694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746902">
        <w:rPr>
          <w:rFonts w:ascii="Times New Roman" w:hAnsi="Times New Roman" w:cs="Times New Roman"/>
          <w:sz w:val="24"/>
          <w:szCs w:val="24"/>
        </w:rPr>
        <w:t>fauna</w:t>
      </w:r>
      <w:r>
        <w:rPr>
          <w:rFonts w:ascii="Times New Roman" w:hAnsi="Times New Roman" w:cs="Times New Roman"/>
          <w:sz w:val="24"/>
          <w:szCs w:val="24"/>
        </w:rPr>
        <w:t xml:space="preserve"> local também</w:t>
      </w:r>
      <w:r w:rsidRPr="00746902">
        <w:rPr>
          <w:rFonts w:ascii="Times New Roman" w:hAnsi="Times New Roman" w:cs="Times New Roman"/>
          <w:sz w:val="24"/>
          <w:szCs w:val="24"/>
        </w:rPr>
        <w:t xml:space="preserve"> é rica, com a presença de espécies ameaçadas de extinção, como a onça parda, o lobo guará e o primata </w:t>
      </w:r>
      <w:proofErr w:type="spellStart"/>
      <w:r w:rsidRPr="00746902">
        <w:rPr>
          <w:rFonts w:ascii="Times New Roman" w:hAnsi="Times New Roman" w:cs="Times New Roman"/>
          <w:sz w:val="24"/>
          <w:szCs w:val="24"/>
        </w:rPr>
        <w:t>sauá</w:t>
      </w:r>
      <w:proofErr w:type="spellEnd"/>
      <w:r w:rsidRPr="00746902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746902">
        <w:rPr>
          <w:rFonts w:ascii="Times New Roman" w:hAnsi="Times New Roman" w:cs="Times New Roman"/>
          <w:sz w:val="24"/>
          <w:szCs w:val="24"/>
        </w:rPr>
        <w:t>Aparecem</w:t>
      </w:r>
      <w:proofErr w:type="gramEnd"/>
      <w:r w:rsidRPr="00746902">
        <w:rPr>
          <w:rFonts w:ascii="Times New Roman" w:hAnsi="Times New Roman" w:cs="Times New Roman"/>
          <w:sz w:val="24"/>
          <w:szCs w:val="24"/>
        </w:rPr>
        <w:t xml:space="preserve"> também o macaco barbado (bugio), o papagaio-do-peito roxo, o </w:t>
      </w:r>
      <w:proofErr w:type="spellStart"/>
      <w:r w:rsidRPr="00746902">
        <w:rPr>
          <w:rFonts w:ascii="Times New Roman" w:hAnsi="Times New Roman" w:cs="Times New Roman"/>
          <w:sz w:val="24"/>
          <w:szCs w:val="24"/>
        </w:rPr>
        <w:t>coati</w:t>
      </w:r>
      <w:proofErr w:type="spellEnd"/>
      <w:r w:rsidRPr="00746902">
        <w:rPr>
          <w:rFonts w:ascii="Times New Roman" w:hAnsi="Times New Roman" w:cs="Times New Roman"/>
          <w:sz w:val="24"/>
          <w:szCs w:val="24"/>
        </w:rPr>
        <w:t>, o andorinhão-de-coleira falha, entre outros. Dentre os anfíbios, encontra-se uma espécie de perereca que foi identificada pela primeira v</w:t>
      </w:r>
      <w:r w:rsidR="00FC6E8B">
        <w:rPr>
          <w:rFonts w:ascii="Times New Roman" w:hAnsi="Times New Roman" w:cs="Times New Roman"/>
          <w:sz w:val="24"/>
          <w:szCs w:val="24"/>
        </w:rPr>
        <w:t xml:space="preserve">ez na região, a </w:t>
      </w:r>
      <w:proofErr w:type="spellStart"/>
      <w:r w:rsidR="00FC6E8B">
        <w:rPr>
          <w:rFonts w:ascii="Times New Roman" w:hAnsi="Times New Roman" w:cs="Times New Roman"/>
          <w:sz w:val="24"/>
          <w:szCs w:val="24"/>
        </w:rPr>
        <w:t>Hyla</w:t>
      </w:r>
      <w:proofErr w:type="spellEnd"/>
      <w:r w:rsidR="00FC6E8B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>bitipoca.</w:t>
      </w:r>
    </w:p>
    <w:p w:rsidR="001B4E8D" w:rsidRDefault="00746902" w:rsidP="0001694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Nesse sentido, a</w:t>
      </w:r>
      <w:r w:rsidR="0036055D">
        <w:rPr>
          <w:rFonts w:ascii="Times New Roman" w:hAnsi="Times New Roman" w:cs="Times New Roman"/>
          <w:sz w:val="24"/>
          <w:szCs w:val="24"/>
        </w:rPr>
        <w:t xml:space="preserve"> taxa </w:t>
      </w:r>
      <w:r w:rsidR="0036055D" w:rsidRPr="0036055D">
        <w:rPr>
          <w:rFonts w:ascii="Times New Roman" w:hAnsi="Times New Roman" w:cs="Times New Roman"/>
          <w:sz w:val="24"/>
          <w:szCs w:val="24"/>
        </w:rPr>
        <w:t xml:space="preserve">tem por objetivo minimizar os impactos ao meio ambiente causados pela população excessiva durante </w:t>
      </w:r>
      <w:r w:rsidR="002D2274">
        <w:rPr>
          <w:rFonts w:ascii="Times New Roman" w:hAnsi="Times New Roman" w:cs="Times New Roman"/>
          <w:sz w:val="24"/>
          <w:szCs w:val="24"/>
        </w:rPr>
        <w:t>as</w:t>
      </w:r>
      <w:r w:rsidR="00981F9E">
        <w:rPr>
          <w:rFonts w:ascii="Times New Roman" w:hAnsi="Times New Roman" w:cs="Times New Roman"/>
          <w:sz w:val="24"/>
          <w:szCs w:val="24"/>
        </w:rPr>
        <w:t xml:space="preserve"> épocas de pico de visitação,</w:t>
      </w:r>
      <w:r w:rsidR="002D2274">
        <w:rPr>
          <w:rFonts w:ascii="Times New Roman" w:hAnsi="Times New Roman" w:cs="Times New Roman"/>
          <w:sz w:val="24"/>
          <w:szCs w:val="24"/>
        </w:rPr>
        <w:t xml:space="preserve"> diminuir os transtornos logísticos que acontecem em razão do grande fluxo de </w:t>
      </w:r>
      <w:r w:rsidR="00420D2C">
        <w:rPr>
          <w:rFonts w:ascii="Times New Roman" w:hAnsi="Times New Roman" w:cs="Times New Roman"/>
          <w:sz w:val="24"/>
          <w:szCs w:val="24"/>
        </w:rPr>
        <w:t>pessoas</w:t>
      </w:r>
      <w:r w:rsidR="002D2274">
        <w:rPr>
          <w:rFonts w:ascii="Times New Roman" w:hAnsi="Times New Roman" w:cs="Times New Roman"/>
          <w:sz w:val="24"/>
          <w:szCs w:val="24"/>
        </w:rPr>
        <w:t>, mitigar o desabastecimento de água e luz da comunidade local em razão da superlotação,</w:t>
      </w:r>
      <w:r w:rsidR="00981F9E">
        <w:rPr>
          <w:rFonts w:ascii="Times New Roman" w:hAnsi="Times New Roman" w:cs="Times New Roman"/>
          <w:sz w:val="24"/>
          <w:szCs w:val="24"/>
        </w:rPr>
        <w:t xml:space="preserve"> assim como possibilitar ao município aferir valores a fim de custear o desenvolvimento do distrito</w:t>
      </w:r>
      <w:r w:rsidR="0036055D">
        <w:rPr>
          <w:rFonts w:ascii="Times New Roman" w:hAnsi="Times New Roman" w:cs="Times New Roman"/>
          <w:sz w:val="24"/>
          <w:szCs w:val="24"/>
        </w:rPr>
        <w:t>.</w:t>
      </w:r>
    </w:p>
    <w:p w:rsidR="00F957E2" w:rsidRDefault="00F957E2" w:rsidP="0001694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Ademais,</w:t>
      </w:r>
      <w:r w:rsidR="00692E5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visa d</w:t>
      </w:r>
      <w:r w:rsidRPr="00F957E2">
        <w:rPr>
          <w:rFonts w:ascii="Times New Roman" w:hAnsi="Times New Roman" w:cs="Times New Roman"/>
          <w:sz w:val="24"/>
          <w:szCs w:val="24"/>
        </w:rPr>
        <w:t>isciplinar e ordenar o trânsito do turismo, possibilitando a oferta de melhores condições de uso da infraestrutura turística do Município, bem como, proporcionar inve</w:t>
      </w:r>
      <w:r w:rsidR="00692E53">
        <w:rPr>
          <w:rFonts w:ascii="Times New Roman" w:hAnsi="Times New Roman" w:cs="Times New Roman"/>
          <w:sz w:val="24"/>
          <w:szCs w:val="24"/>
        </w:rPr>
        <w:t>stimentos para a manutenção do turismo e do m</w:t>
      </w:r>
      <w:r w:rsidRPr="00F957E2">
        <w:rPr>
          <w:rFonts w:ascii="Times New Roman" w:hAnsi="Times New Roman" w:cs="Times New Roman"/>
          <w:sz w:val="24"/>
          <w:szCs w:val="24"/>
        </w:rPr>
        <w:t>eio Ambiente e melhor prestação dos serviços públicos que aumentam sobremaneira na alta temporada, em especial os serviços de limpeza urbana e manejo de resíduos sólidos adicionais decorrentes da atividade turística</w:t>
      </w:r>
      <w:r w:rsidR="00C66D34">
        <w:rPr>
          <w:rFonts w:ascii="Times New Roman" w:hAnsi="Times New Roman" w:cs="Times New Roman"/>
          <w:sz w:val="24"/>
          <w:szCs w:val="24"/>
        </w:rPr>
        <w:t>, além de atender à n</w:t>
      </w:r>
      <w:r w:rsidR="00C66D34" w:rsidRPr="00C66D34">
        <w:rPr>
          <w:rFonts w:ascii="Times New Roman" w:hAnsi="Times New Roman" w:cs="Times New Roman"/>
          <w:sz w:val="24"/>
          <w:szCs w:val="24"/>
        </w:rPr>
        <w:t>ecessid</w:t>
      </w:r>
      <w:r w:rsidR="00C66D34">
        <w:rPr>
          <w:rFonts w:ascii="Times New Roman" w:hAnsi="Times New Roman" w:cs="Times New Roman"/>
          <w:sz w:val="24"/>
          <w:szCs w:val="24"/>
        </w:rPr>
        <w:t>ade de preservação da natureza. Tudo com impacto direto</w:t>
      </w:r>
      <w:r w:rsidR="00C66D34" w:rsidRPr="00C66D34">
        <w:rPr>
          <w:rFonts w:ascii="Times New Roman" w:hAnsi="Times New Roman" w:cs="Times New Roman"/>
          <w:sz w:val="24"/>
          <w:szCs w:val="24"/>
        </w:rPr>
        <w:t xml:space="preserve"> na qualid</w:t>
      </w:r>
      <w:r w:rsidR="00C66D34">
        <w:rPr>
          <w:rFonts w:ascii="Times New Roman" w:hAnsi="Times New Roman" w:cs="Times New Roman"/>
          <w:sz w:val="24"/>
          <w:szCs w:val="24"/>
        </w:rPr>
        <w:t xml:space="preserve">ade de vida dos habitantes e da </w:t>
      </w:r>
      <w:r w:rsidR="00C66D34" w:rsidRPr="00C66D34">
        <w:rPr>
          <w:rFonts w:ascii="Times New Roman" w:hAnsi="Times New Roman" w:cs="Times New Roman"/>
          <w:sz w:val="24"/>
          <w:szCs w:val="24"/>
        </w:rPr>
        <w:t>população flutuante</w:t>
      </w:r>
      <w:r w:rsidR="00C66D34">
        <w:rPr>
          <w:rFonts w:ascii="Times New Roman" w:hAnsi="Times New Roman" w:cs="Times New Roman"/>
          <w:sz w:val="24"/>
          <w:szCs w:val="24"/>
        </w:rPr>
        <w:t>.</w:t>
      </w:r>
    </w:p>
    <w:p w:rsidR="0081765A" w:rsidRDefault="00F95459" w:rsidP="0001694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quesito financeiro, a</w:t>
      </w:r>
      <w:r w:rsidRPr="00F95459">
        <w:rPr>
          <w:rFonts w:ascii="Times New Roman" w:hAnsi="Times New Roman" w:cs="Times New Roman"/>
          <w:sz w:val="24"/>
          <w:szCs w:val="24"/>
        </w:rPr>
        <w:t>s receitas diretas e indiretas proporcionadas p</w:t>
      </w:r>
      <w:r>
        <w:rPr>
          <w:rFonts w:ascii="Times New Roman" w:hAnsi="Times New Roman" w:cs="Times New Roman"/>
          <w:sz w:val="24"/>
          <w:szCs w:val="24"/>
        </w:rPr>
        <w:t xml:space="preserve">elo fluxo de turistas não fazem </w:t>
      </w:r>
      <w:r w:rsidRPr="00F95459">
        <w:rPr>
          <w:rFonts w:ascii="Times New Roman" w:hAnsi="Times New Roman" w:cs="Times New Roman"/>
          <w:sz w:val="24"/>
          <w:szCs w:val="24"/>
        </w:rPr>
        <w:t>frente aos custos extraordinários d</w:t>
      </w:r>
      <w:r>
        <w:rPr>
          <w:rFonts w:ascii="Times New Roman" w:hAnsi="Times New Roman" w:cs="Times New Roman"/>
          <w:sz w:val="24"/>
          <w:szCs w:val="24"/>
        </w:rPr>
        <w:t xml:space="preserve">a Prefeitura para manutenção da </w:t>
      </w:r>
      <w:r w:rsidRPr="00F95459">
        <w:rPr>
          <w:rFonts w:ascii="Times New Roman" w:hAnsi="Times New Roman" w:cs="Times New Roman"/>
          <w:sz w:val="24"/>
          <w:szCs w:val="24"/>
        </w:rPr>
        <w:t>infraestrutura e limpeza urbana nas condições normais</w:t>
      </w:r>
      <w:r w:rsidR="0081765A">
        <w:rPr>
          <w:rFonts w:ascii="Times New Roman" w:hAnsi="Times New Roman" w:cs="Times New Roman"/>
          <w:sz w:val="24"/>
          <w:szCs w:val="24"/>
        </w:rPr>
        <w:t>. O aumento previsto no fluxo turístico com a concessão do parque estadual aumentará esse desequilíbrio.</w:t>
      </w:r>
      <w:r w:rsidR="00123B4B">
        <w:rPr>
          <w:rFonts w:ascii="Times New Roman" w:hAnsi="Times New Roman" w:cs="Times New Roman"/>
          <w:sz w:val="24"/>
          <w:szCs w:val="24"/>
        </w:rPr>
        <w:t xml:space="preserve"> Hoje, os custos trazidos pelo oferecimento de serviços públicos aos turistas são bancados, direta ou indiretamente, pela população local, tornando insustentável a atual situação. </w:t>
      </w:r>
    </w:p>
    <w:p w:rsidR="00F540FC" w:rsidRDefault="00306A96" w:rsidP="0001694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Ao final </w:t>
      </w:r>
      <w:r w:rsidR="0000138F">
        <w:rPr>
          <w:rFonts w:ascii="Times New Roman" w:hAnsi="Times New Roman" w:cs="Times New Roman"/>
          <w:sz w:val="24"/>
          <w:szCs w:val="24"/>
        </w:rPr>
        <w:t>do ano de 2021</w:t>
      </w:r>
      <w:r w:rsidR="000F09AC">
        <w:rPr>
          <w:rFonts w:ascii="Times New Roman" w:hAnsi="Times New Roman" w:cs="Times New Roman"/>
          <w:sz w:val="24"/>
          <w:szCs w:val="24"/>
        </w:rPr>
        <w:t>e início do ano corrente,</w:t>
      </w:r>
      <w:r w:rsidR="0000138F">
        <w:rPr>
          <w:rFonts w:ascii="Times New Roman" w:hAnsi="Times New Roman" w:cs="Times New Roman"/>
          <w:sz w:val="24"/>
          <w:szCs w:val="24"/>
        </w:rPr>
        <w:t xml:space="preserve"> também foram enfrentados diversos problemas na estrada que dá acesso ao Distrito, que até o presente momento conta</w:t>
      </w:r>
      <w:r w:rsidR="00F171BA">
        <w:rPr>
          <w:rFonts w:ascii="Times New Roman" w:hAnsi="Times New Roman" w:cs="Times New Roman"/>
          <w:sz w:val="24"/>
          <w:szCs w:val="24"/>
        </w:rPr>
        <w:t xml:space="preserve"> apenas,</w:t>
      </w:r>
      <w:r w:rsidR="0000138F">
        <w:rPr>
          <w:rFonts w:ascii="Times New Roman" w:hAnsi="Times New Roman" w:cs="Times New Roman"/>
          <w:sz w:val="24"/>
          <w:szCs w:val="24"/>
        </w:rPr>
        <w:t xml:space="preserve"> em sua maior parte</w:t>
      </w:r>
      <w:r w:rsidR="00F171BA">
        <w:rPr>
          <w:rFonts w:ascii="Times New Roman" w:hAnsi="Times New Roman" w:cs="Times New Roman"/>
          <w:sz w:val="24"/>
          <w:szCs w:val="24"/>
        </w:rPr>
        <w:t xml:space="preserve">, </w:t>
      </w:r>
      <w:r w:rsidR="0000138F">
        <w:rPr>
          <w:rFonts w:ascii="Times New Roman" w:hAnsi="Times New Roman" w:cs="Times New Roman"/>
          <w:sz w:val="24"/>
          <w:szCs w:val="24"/>
        </w:rPr>
        <w:t xml:space="preserve">com pavimentação primária. Apesar do Município sempre pleitear recursos de convênios com o Estado de Minas Gerais para a manutenção da via pública, fato é que Lima Duarte, por si só, não possui fluxo de caixa suficiente para arcar com as grandes obras que àquela rodovia demanda, de forma que se faz necessário a criação de novos meios de arrecadação.  </w:t>
      </w:r>
    </w:p>
    <w:p w:rsidR="00074AD4" w:rsidRDefault="00074AD4" w:rsidP="0001694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Sobre a constitucionalidade e legalidade de imposição da referida cobrança, já se manifestou o STF: </w:t>
      </w:r>
    </w:p>
    <w:p w:rsidR="00074AD4" w:rsidRPr="00074AD4" w:rsidRDefault="00074AD4" w:rsidP="00074AD4">
      <w:pPr>
        <w:pStyle w:val="NormalWeb"/>
        <w:shd w:val="clear" w:color="auto" w:fill="FFFFFF"/>
        <w:spacing w:before="0" w:beforeAutospacing="0" w:after="0" w:afterAutospacing="0"/>
        <w:ind w:left="2268"/>
        <w:jc w:val="both"/>
        <w:rPr>
          <w:spacing w:val="2"/>
          <w:sz w:val="22"/>
          <w:szCs w:val="22"/>
        </w:rPr>
      </w:pPr>
      <w:r w:rsidRPr="00074AD4">
        <w:rPr>
          <w:spacing w:val="2"/>
          <w:sz w:val="22"/>
          <w:szCs w:val="22"/>
        </w:rPr>
        <w:t xml:space="preserve">RECURSO EXTRAORDINÁRIO. CONSTITUCIONAL E TRIBUTÁRIO. TAXA DE PRESERVAÇÃO AMBIENTAL  TPA. CONSTITUCIONALIDADE. PRECEDENTES. RECURSO EXTRAORDINÁRIO AO QUAL SE NEGA PROVIMENTO. Relatório </w:t>
      </w:r>
      <w:proofErr w:type="gramStart"/>
      <w:r w:rsidRPr="00074AD4">
        <w:rPr>
          <w:spacing w:val="2"/>
          <w:sz w:val="22"/>
          <w:szCs w:val="22"/>
        </w:rPr>
        <w:t>1</w:t>
      </w:r>
      <w:proofErr w:type="gramEnd"/>
      <w:r w:rsidRPr="00074AD4">
        <w:rPr>
          <w:spacing w:val="2"/>
          <w:sz w:val="22"/>
          <w:szCs w:val="22"/>
        </w:rPr>
        <w:t xml:space="preserve">. Recurso extraordinário interposto com base na al. a do inc. III do art. 102 da Constituição da República contra o seguinte julgado do Tribunal de Justiça de Santa Catarina: "AÇÃO DIRETA DE INCONSTITUCIONALIDADE - LC N. 185/2013 E LO N. 1.047/2014, AMBAS DO MUNICÍPIO DE BOMBINHAS - INSTITUIÇÃO E REGULAÇÃO DE TAXA DE PRESERVAÇÃO AMBIENTAL (TPA) - INADEQUAÇÃO DA ESPÉCIE TRIBUTÁRIA - TESE INSUBSISTENTE - EXAÇÃO RECOLHIDA PARA VIABILIZAR A ADEQUADA ATUAÇÃO ADMINISTRATIVA NA SALVAGUARDA DO MEIO AMBIENTE - OFENSA AO PRIMADO DA ISONOMIA - INOCORRÊCIA - DESIGUALDADE NO TRATAMENTO JURÍDICO CONFERIDO AOS CONTRIBUINTES NA EXATA ORDEM DA DISTINÇÃO DE SUAS CONDIÇÕES FÁTICAS - EMBARAÇO </w:t>
      </w:r>
      <w:proofErr w:type="gramStart"/>
      <w:r w:rsidRPr="00074AD4">
        <w:rPr>
          <w:spacing w:val="2"/>
          <w:sz w:val="22"/>
          <w:szCs w:val="22"/>
        </w:rPr>
        <w:t>À</w:t>
      </w:r>
      <w:proofErr w:type="gramEnd"/>
      <w:r w:rsidRPr="00074AD4">
        <w:rPr>
          <w:spacing w:val="2"/>
          <w:sz w:val="22"/>
          <w:szCs w:val="22"/>
        </w:rPr>
        <w:t xml:space="preserve"> LIBERDADE DE TRÂNSITO DE PESSOAS E BENS NO TERRITÓRIO MUNICIPAL - ARGUIÇÃO DESPROPOSITADA - EXAÇÃO QUE NÃO TEM COMO FATO GERADOR A MERA TRANSPOSIÇÃO DE DIVISAS, MAS SIM A POTENCIAL DEGRADAÇÃO AMBIENTAL - TAMPOUCO EVIDENCIADA, IN CONCRETU, A DIMINUIÇÃO DE CIRCULAÇÃO NA REGIÃO EM RAZÃO DA COBRANÇA DO TRIBUTO - AUSÊNCIA DE OFENSA AOS DITAMES CONSTITUCIONAIS - IMPROCEDÊNCIA DO PEDIDO QUE SE IMPÕE" (fls. 28-29, e-doc. 9). 2. O recorrente alega contrariedade ao inc. II e ao § 2º do art. 145 e aos </w:t>
      </w:r>
      <w:proofErr w:type="spellStart"/>
      <w:r w:rsidRPr="00074AD4">
        <w:rPr>
          <w:spacing w:val="2"/>
          <w:sz w:val="22"/>
          <w:szCs w:val="22"/>
        </w:rPr>
        <w:t>incs</w:t>
      </w:r>
      <w:proofErr w:type="spellEnd"/>
      <w:r w:rsidRPr="00074AD4">
        <w:rPr>
          <w:spacing w:val="2"/>
          <w:sz w:val="22"/>
          <w:szCs w:val="22"/>
        </w:rPr>
        <w:t xml:space="preserve">. II e V do art. 150 da Constituição da República e assevera a inconstitucionalidade da cobrança da taxa de preservação ambiental do Município de Bombinhas/SC. </w:t>
      </w:r>
      <w:r w:rsidRPr="00CA33F7">
        <w:rPr>
          <w:b/>
          <w:spacing w:val="2"/>
          <w:sz w:val="22"/>
          <w:szCs w:val="22"/>
          <w:u w:val="single"/>
        </w:rPr>
        <w:t>Apreciada a matéria trazida na espécie, DECIDO. 3. Razão jurídica não assiste ao recorrente</w:t>
      </w:r>
      <w:r w:rsidRPr="00074AD4">
        <w:rPr>
          <w:spacing w:val="2"/>
          <w:sz w:val="22"/>
          <w:szCs w:val="22"/>
        </w:rPr>
        <w:t>. 4. No julgamento do Recurso Extraordinário n. 416.601, Relator o Ministro Carlos Velloso, o Plenário do Supremo Tribunal Federal reconheceu a constitucionalidade da Taxa de Controle e Fiscalização Ambiental  TCFA: "CONSTITUCIONAL. TRIBUTÁRIO. IBAMA: TAXA DE FISCALIZAÇÃO. Lei 6.938/81, com a redação da Lei 10.165/2000, artigos 17-B, 17-C, 17-D, 17-G. C.F., art. 145, II. I. - Taxa de Controle e Fiscalização Ambiental - TCFA - do IBAMA: Lei 6.938, com a redação da Lei 10.165/2000: constitucionalidade. II. - R.E. conhecido, em parte, e não provido" (DJ 30.9.2005). Assim também os seguintes julgados: "AGRAVO REGIMENTAL NO RECURSO EXTRAORDINÁRIO COM AGRAVO. TRIBUTÁRIO. TAXA DE CONTROLE E FISCALIZAÇÃO AMBIENTAL DO ESTADO DE MINAS GERAIS  TFAMG. LEIS ESTADUAIS Nº 14.940/2003 E 17.608/2008. UTILIZAÇÃO DO PORTE DA EMPRESA, AFERIDO A PARTIR DO SOMATÓRIO DAS RECEITAS BRUTAS DE SEUS ESTABELECIMENTOS, PARA MENSURAR O CUSTO DA FISCALIZAÇÃO ESTATAL. VALIDADE. ALEGADA OFENSA AOS PRINCÍPIOS DA ISONOMIA E DA CAPACIDADE CONTRIBUTIVA. EXAME DE MATÉRIA FÁTICA. IMPOSSIBILIDADE EM SEDE EXTRAORDINÁRIA. INCIDÊNCIA DA SÚMULA Nº 279 DO STF. AGRAVO REGIMENTAL DESPROVIDO</w:t>
      </w:r>
      <w:proofErr w:type="gramStart"/>
      <w:r w:rsidRPr="00074AD4">
        <w:rPr>
          <w:spacing w:val="2"/>
          <w:sz w:val="22"/>
          <w:szCs w:val="22"/>
        </w:rPr>
        <w:t>"(</w:t>
      </w:r>
      <w:proofErr w:type="gramEnd"/>
      <w:r w:rsidRPr="00074AD4">
        <w:rPr>
          <w:spacing w:val="2"/>
          <w:sz w:val="22"/>
          <w:szCs w:val="22"/>
        </w:rPr>
        <w:t xml:space="preserve">ARE n. 896.740-AgR, Relator o Ministro Luiz </w:t>
      </w:r>
      <w:proofErr w:type="spellStart"/>
      <w:r w:rsidRPr="00074AD4">
        <w:rPr>
          <w:spacing w:val="2"/>
          <w:sz w:val="22"/>
          <w:szCs w:val="22"/>
        </w:rPr>
        <w:t>Fux</w:t>
      </w:r>
      <w:proofErr w:type="spellEnd"/>
      <w:r w:rsidRPr="00074AD4">
        <w:rPr>
          <w:spacing w:val="2"/>
          <w:sz w:val="22"/>
          <w:szCs w:val="22"/>
        </w:rPr>
        <w:t xml:space="preserve">, Primeira Turma, </w:t>
      </w:r>
      <w:proofErr w:type="spellStart"/>
      <w:r w:rsidRPr="00074AD4">
        <w:rPr>
          <w:spacing w:val="2"/>
          <w:sz w:val="22"/>
          <w:szCs w:val="22"/>
        </w:rPr>
        <w:t>DJe</w:t>
      </w:r>
      <w:proofErr w:type="spellEnd"/>
      <w:r w:rsidRPr="00074AD4">
        <w:rPr>
          <w:spacing w:val="2"/>
          <w:sz w:val="22"/>
          <w:szCs w:val="22"/>
        </w:rPr>
        <w:t xml:space="preserve"> 16.10.2015)."AGRAVO REGIMENTAL NO RECURSO EXTRAORDINÁRIO COM AGRAVO. TRIBUTÁRIO. TAXA DE CONTROLE E FISCALIZAÇÃO AMBIENTAL DO ESTADO DE MINAS GERAIS  TFAMG. LEI ESTADUAL 14.940/2003, COM AS ALTERAÇÕES DA LEI ESTADUAL 17.608/2008. BASE DE CÁLCULO. SOMATÓRIO DAS RECEITAS BRUTAS DE TODOS OS ESTABELECIMENTOS DO CONTRIBUINTE. ART. 145, II, § 2º, DA CF. CONSTITUCIONALIDADE. AGRAVO REGIMENTAL A QUE SE NEGA PROVIMENTO. I  A jurisprudência do Supremo Tribunal Federal tem reconhecido a constitucionalidade de taxas cobradas em razão do controle e fiscalização ambiental, por serem cobradas em razão do exercício regular do poder de polícia. II  É legítima a utilização do porte da empresa, obtido a partir do somatório das receitas bruta de seus estabelecimentos, para mensurar o custo da atividade despendida na fiscalização que dá ensejo a cobrança da taxa. Precedente. III  Agravo regimental a que se nega provimento" (ARE n. 738.944-AgR, Relator o Ministro Ricardo </w:t>
      </w:r>
      <w:proofErr w:type="spellStart"/>
      <w:r w:rsidRPr="00074AD4">
        <w:rPr>
          <w:spacing w:val="2"/>
          <w:sz w:val="22"/>
          <w:szCs w:val="22"/>
        </w:rPr>
        <w:t>Lewandowski</w:t>
      </w:r>
      <w:proofErr w:type="spellEnd"/>
      <w:r w:rsidRPr="00074AD4">
        <w:rPr>
          <w:spacing w:val="2"/>
          <w:sz w:val="22"/>
          <w:szCs w:val="22"/>
        </w:rPr>
        <w:t xml:space="preserve">, Segunda Turma, </w:t>
      </w:r>
      <w:proofErr w:type="spellStart"/>
      <w:r w:rsidRPr="00074AD4">
        <w:rPr>
          <w:spacing w:val="2"/>
          <w:sz w:val="22"/>
          <w:szCs w:val="22"/>
        </w:rPr>
        <w:t>DJe</w:t>
      </w:r>
      <w:proofErr w:type="spellEnd"/>
      <w:r w:rsidRPr="00074AD4">
        <w:rPr>
          <w:spacing w:val="2"/>
          <w:sz w:val="22"/>
          <w:szCs w:val="22"/>
        </w:rPr>
        <w:t xml:space="preserve"> 26.3.2014). "AGRAVO REGIMENTAL NO AGRAVO DE INSTRUMENTO. CONSTITUCIONAL E TRIBUTÁRIO. TAXA DE CONTROLE E FISCALIZAÇÃO AMBIENTAL - TCFA. CONSTITUCIONALIDADE. PRECEDENTES DO SUPREMO TRIBUNAL FEDERAL. AGRAVO REGIMENTAL AO QUAL SE NEGA PROVIMENTO" (AI n. 648.201-</w:t>
      </w:r>
      <w:proofErr w:type="gramStart"/>
      <w:r w:rsidRPr="00074AD4">
        <w:rPr>
          <w:spacing w:val="2"/>
          <w:sz w:val="22"/>
          <w:szCs w:val="22"/>
        </w:rPr>
        <w:t>AgR</w:t>
      </w:r>
      <w:proofErr w:type="gramEnd"/>
      <w:r w:rsidRPr="00074AD4">
        <w:rPr>
          <w:spacing w:val="2"/>
          <w:sz w:val="22"/>
          <w:szCs w:val="22"/>
        </w:rPr>
        <w:t xml:space="preserve">, de minha relatoria, Primeira Turma, </w:t>
      </w:r>
      <w:proofErr w:type="spellStart"/>
      <w:r w:rsidRPr="00074AD4">
        <w:rPr>
          <w:spacing w:val="2"/>
          <w:sz w:val="22"/>
          <w:szCs w:val="22"/>
        </w:rPr>
        <w:t>DJe</w:t>
      </w:r>
      <w:proofErr w:type="spellEnd"/>
      <w:r w:rsidRPr="00074AD4">
        <w:rPr>
          <w:spacing w:val="2"/>
          <w:sz w:val="22"/>
          <w:szCs w:val="22"/>
        </w:rPr>
        <w:t xml:space="preserve"> 26.6.2009). "1. RECURSO. Extraordinário. Inadmissibilidade. Taxa de Controle e Fiscalização Ambiental - TCFA. Poder de polícia exercido pelo IBAMA. Lei n. 10.165/2000. Constitucionalidade. Precedente do Plenário. Ausência de razões novas. Decisão mantida. Agravo regimental improvido. Nega-se provimento a agravo regimental quando a parte agravante não infirma os fundamentos adotados na decisão agravada. </w:t>
      </w:r>
      <w:proofErr w:type="gramStart"/>
      <w:r w:rsidRPr="00074AD4">
        <w:rPr>
          <w:spacing w:val="2"/>
          <w:sz w:val="22"/>
          <w:szCs w:val="22"/>
        </w:rPr>
        <w:t>2</w:t>
      </w:r>
      <w:proofErr w:type="gramEnd"/>
      <w:r w:rsidRPr="00074AD4">
        <w:rPr>
          <w:spacing w:val="2"/>
          <w:sz w:val="22"/>
          <w:szCs w:val="22"/>
        </w:rPr>
        <w:t xml:space="preserve">. RECURSO. Agravo. Regimental. Jurisprudência assentada sobre a matéria. Caráter meramente abusivo. Litigância de má-fé. Imposição de multa. Aplicação do art. 557, § 2º, cc. </w:t>
      </w:r>
      <w:proofErr w:type="spellStart"/>
      <w:r w:rsidRPr="00074AD4">
        <w:rPr>
          <w:spacing w:val="2"/>
          <w:sz w:val="22"/>
          <w:szCs w:val="22"/>
        </w:rPr>
        <w:t>arts</w:t>
      </w:r>
      <w:proofErr w:type="spellEnd"/>
      <w:r w:rsidRPr="00074AD4">
        <w:rPr>
          <w:spacing w:val="2"/>
          <w:sz w:val="22"/>
          <w:szCs w:val="22"/>
        </w:rPr>
        <w:t xml:space="preserve">. 14, II e III, e 17, VII, do CPC. Quando abusiva a interposição de agravo, manifestamente inadmissível ou infundado, deve o Tribunal condenar a agravante a pagar multa ao agravado"(RE n. 397.342-AgR, Relator o Ministro Cezar </w:t>
      </w:r>
      <w:proofErr w:type="spellStart"/>
      <w:r w:rsidRPr="00074AD4">
        <w:rPr>
          <w:spacing w:val="2"/>
          <w:sz w:val="22"/>
          <w:szCs w:val="22"/>
        </w:rPr>
        <w:t>Peluso</w:t>
      </w:r>
      <w:proofErr w:type="spellEnd"/>
      <w:r w:rsidRPr="00074AD4">
        <w:rPr>
          <w:spacing w:val="2"/>
          <w:sz w:val="22"/>
          <w:szCs w:val="22"/>
        </w:rPr>
        <w:t>, Segunda Turma, DJ 1º.9.2006). O acórdão recorrido harmoniza-se com essa orientação jurisprudencial. Nada há a prover quanto às alegações do recorrente. 5. Pelo exposto, nego provimento ao recurso extraordinário (al. b do inc. IV do art. 932 do Código de Processo Civil e § 1º do art. 21 do Regimento Interno do Supremo Tribunal Federal). Publique-se. Brasília, 12 de julho de 2019. Ministra CÁRMEN LÚCIA Relatora</w:t>
      </w:r>
    </w:p>
    <w:p w:rsidR="0067516F" w:rsidRDefault="00074AD4" w:rsidP="00074AD4">
      <w:pPr>
        <w:pStyle w:val="NormalWeb"/>
        <w:shd w:val="clear" w:color="auto" w:fill="FFFFFF"/>
        <w:spacing w:before="0" w:beforeAutospacing="0" w:after="0" w:afterAutospacing="0"/>
        <w:ind w:left="2268"/>
        <w:jc w:val="both"/>
        <w:rPr>
          <w:spacing w:val="2"/>
          <w:sz w:val="22"/>
          <w:szCs w:val="22"/>
        </w:rPr>
      </w:pPr>
      <w:r w:rsidRPr="00074AD4">
        <w:rPr>
          <w:spacing w:val="2"/>
          <w:sz w:val="22"/>
          <w:szCs w:val="22"/>
        </w:rPr>
        <w:t xml:space="preserve">(STF - RE: 1160175 SC - SANTA CATARINA 9153854-27.2014.8.24.0000, Relator: Min. CÁRMEN LÚCIA, Data </w:t>
      </w:r>
      <w:proofErr w:type="gramStart"/>
      <w:r w:rsidRPr="00074AD4">
        <w:rPr>
          <w:spacing w:val="2"/>
          <w:sz w:val="22"/>
          <w:szCs w:val="22"/>
        </w:rPr>
        <w:t>de</w:t>
      </w:r>
      <w:proofErr w:type="gramEnd"/>
      <w:r w:rsidRPr="00074AD4">
        <w:rPr>
          <w:spacing w:val="2"/>
          <w:sz w:val="22"/>
          <w:szCs w:val="22"/>
        </w:rPr>
        <w:t xml:space="preserve"> </w:t>
      </w:r>
    </w:p>
    <w:p w:rsidR="0067516F" w:rsidRDefault="00074AD4" w:rsidP="0067516F">
      <w:pPr>
        <w:pStyle w:val="NormalWeb"/>
        <w:shd w:val="clear" w:color="auto" w:fill="FFFFFF"/>
        <w:spacing w:before="0" w:beforeAutospacing="0" w:after="0" w:afterAutospacing="0"/>
        <w:ind w:left="2268"/>
        <w:jc w:val="both"/>
        <w:rPr>
          <w:spacing w:val="2"/>
          <w:sz w:val="22"/>
          <w:szCs w:val="22"/>
        </w:rPr>
      </w:pPr>
      <w:r w:rsidRPr="00074AD4">
        <w:rPr>
          <w:spacing w:val="2"/>
          <w:sz w:val="22"/>
          <w:szCs w:val="22"/>
        </w:rPr>
        <w:t>Julgamento: 12/07/2019</w:t>
      </w:r>
      <w:proofErr w:type="gramStart"/>
      <w:r w:rsidRPr="00074AD4">
        <w:rPr>
          <w:spacing w:val="2"/>
          <w:sz w:val="22"/>
          <w:szCs w:val="22"/>
        </w:rPr>
        <w:t>, Data</w:t>
      </w:r>
      <w:proofErr w:type="gramEnd"/>
      <w:r w:rsidRPr="00074AD4">
        <w:rPr>
          <w:spacing w:val="2"/>
          <w:sz w:val="22"/>
          <w:szCs w:val="22"/>
        </w:rPr>
        <w:t xml:space="preserve"> de Publicação: DJe-170 06/08/2019)</w:t>
      </w:r>
      <w:r w:rsidR="0001694E">
        <w:rPr>
          <w:spacing w:val="2"/>
          <w:sz w:val="22"/>
          <w:szCs w:val="22"/>
        </w:rPr>
        <w:t>.</w:t>
      </w:r>
    </w:p>
    <w:p w:rsidR="0001694E" w:rsidRPr="0067516F" w:rsidRDefault="0001694E" w:rsidP="0067516F">
      <w:pPr>
        <w:pStyle w:val="NormalWeb"/>
        <w:shd w:val="clear" w:color="auto" w:fill="FFFFFF"/>
        <w:spacing w:before="0" w:beforeAutospacing="0" w:after="0" w:afterAutospacing="0"/>
        <w:ind w:left="2268"/>
        <w:jc w:val="both"/>
        <w:rPr>
          <w:spacing w:val="2"/>
          <w:sz w:val="22"/>
          <w:szCs w:val="22"/>
        </w:rPr>
      </w:pPr>
    </w:p>
    <w:p w:rsidR="00C11487" w:rsidRDefault="0067516F" w:rsidP="0001694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Além disso, o projeto que ora submetemos ao poder legislativo não viola nenhuma norma ou princípio previstos na LOM. </w:t>
      </w:r>
    </w:p>
    <w:p w:rsidR="001B4E8D" w:rsidRPr="001B4E8D" w:rsidRDefault="001B4E8D" w:rsidP="0001694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4E8D">
        <w:rPr>
          <w:rFonts w:ascii="Times New Roman" w:hAnsi="Times New Roman" w:cs="Times New Roman"/>
          <w:sz w:val="24"/>
          <w:szCs w:val="24"/>
        </w:rPr>
        <w:t>Ante o exposto, e atendendo aos pressupostos legais, solicitamos e aguardamos a votação do presente projeto de lei, e a consequente aprovação da proposta apresentada.</w:t>
      </w:r>
    </w:p>
    <w:p w:rsidR="001B4E8D" w:rsidRPr="001B4E8D" w:rsidRDefault="001B4E8D" w:rsidP="0001694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4E8D">
        <w:rPr>
          <w:rFonts w:ascii="Times New Roman" w:hAnsi="Times New Roman" w:cs="Times New Roman"/>
          <w:sz w:val="24"/>
          <w:szCs w:val="24"/>
        </w:rPr>
        <w:t xml:space="preserve">Segue em anexo requerimento e abaixo assinado de todos os servidores da classe. </w:t>
      </w:r>
    </w:p>
    <w:p w:rsidR="00383127" w:rsidRDefault="001B4E8D" w:rsidP="0038312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4E8D">
        <w:rPr>
          <w:rFonts w:ascii="Times New Roman" w:hAnsi="Times New Roman" w:cs="Times New Roman"/>
          <w:sz w:val="24"/>
          <w:szCs w:val="24"/>
        </w:rPr>
        <w:t>Respeitosamente,</w:t>
      </w:r>
    </w:p>
    <w:p w:rsidR="00124FFC" w:rsidRDefault="00E70959" w:rsidP="0038312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Lima Duarte, 12 de janeiro de 2022.</w:t>
      </w:r>
    </w:p>
    <w:p w:rsidR="00383127" w:rsidRPr="001B4E8D" w:rsidRDefault="00383127" w:rsidP="0038312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B4E8D" w:rsidRPr="001B4E8D" w:rsidRDefault="001B4E8D" w:rsidP="001522F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4E8D">
        <w:rPr>
          <w:rFonts w:ascii="Times New Roman" w:hAnsi="Times New Roman" w:cs="Times New Roman"/>
          <w:b/>
          <w:sz w:val="24"/>
          <w:szCs w:val="24"/>
        </w:rPr>
        <w:t>ELENICE PEREIRA DELGADO SANTELLI</w:t>
      </w:r>
    </w:p>
    <w:p w:rsidR="001B4E8D" w:rsidRPr="00370272" w:rsidRDefault="001B4E8D" w:rsidP="0037027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4E8D">
        <w:rPr>
          <w:rFonts w:ascii="Times New Roman" w:hAnsi="Times New Roman" w:cs="Times New Roman"/>
          <w:b/>
          <w:sz w:val="24"/>
          <w:szCs w:val="24"/>
        </w:rPr>
        <w:t>Prefeita Municipal</w:t>
      </w:r>
    </w:p>
    <w:sectPr w:rsidR="001B4E8D" w:rsidRPr="0037027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A2E" w:rsidRDefault="00C22A2E" w:rsidP="00170DB4">
      <w:pPr>
        <w:spacing w:after="0" w:line="240" w:lineRule="auto"/>
      </w:pPr>
      <w:r>
        <w:separator/>
      </w:r>
    </w:p>
  </w:endnote>
  <w:endnote w:type="continuationSeparator" w:id="0">
    <w:p w:rsidR="00C22A2E" w:rsidRDefault="00C22A2E" w:rsidP="00170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A2E" w:rsidRDefault="00C22A2E" w:rsidP="00170DB4">
      <w:pPr>
        <w:spacing w:after="0" w:line="240" w:lineRule="auto"/>
      </w:pPr>
      <w:r>
        <w:separator/>
      </w:r>
    </w:p>
  </w:footnote>
  <w:footnote w:type="continuationSeparator" w:id="0">
    <w:p w:rsidR="00C22A2E" w:rsidRDefault="00C22A2E" w:rsidP="00170D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40D" w:rsidRPr="00C42CC2" w:rsidRDefault="00170DB4" w:rsidP="009A040D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b/>
        <w:iCs/>
        <w:u w:val="single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0" wp14:anchorId="74ACDB2B" wp14:editId="2660F284">
          <wp:simplePos x="0" y="0"/>
          <wp:positionH relativeFrom="column">
            <wp:posOffset>-659130</wp:posOffset>
          </wp:positionH>
          <wp:positionV relativeFrom="paragraph">
            <wp:posOffset>-6985</wp:posOffset>
          </wp:positionV>
          <wp:extent cx="598170" cy="647065"/>
          <wp:effectExtent l="0" t="0" r="0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170" cy="647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atang" w:eastAsia="Batang" w:hAnsi="Batang" w:hint="eastAsia"/>
        <w:b/>
        <w:bCs/>
        <w:i/>
        <w:iCs/>
        <w:color w:val="000080"/>
        <w:sz w:val="40"/>
      </w:rPr>
      <w:t xml:space="preserve">      </w:t>
    </w:r>
    <w:r w:rsidRPr="00C42CC2">
      <w:rPr>
        <w:rFonts w:ascii="Batang" w:eastAsia="Batang" w:hAnsi="Batang" w:hint="eastAsia"/>
        <w:b/>
        <w:bCs/>
        <w:i/>
        <w:iCs/>
        <w:sz w:val="40"/>
      </w:rPr>
      <w:t>Prefeitura Municipal de Lima Duarte – MG</w:t>
    </w:r>
    <w:r w:rsidR="009A040D" w:rsidRPr="009A040D">
      <w:rPr>
        <w:rFonts w:ascii="Batang" w:eastAsia="Batang" w:hAnsi="Batang"/>
        <w:b/>
        <w:iCs/>
        <w:u w:val="single"/>
      </w:rPr>
      <w:t xml:space="preserve"> </w:t>
    </w:r>
    <w:r w:rsidR="008D59CF">
      <w:rPr>
        <w:rFonts w:ascii="Batang" w:eastAsia="Batang" w:hAnsi="Batang"/>
        <w:b/>
        <w:iCs/>
        <w:u w:val="single"/>
      </w:rPr>
      <w:t>Gabinete do Prefeito</w:t>
    </w:r>
  </w:p>
  <w:p w:rsidR="00170DB4" w:rsidRPr="00C42CC2" w:rsidRDefault="00170DB4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  <w:r w:rsidRPr="00C42CC2">
      <w:rPr>
        <w:rFonts w:ascii="Batang" w:eastAsia="Batang" w:hAnsi="Batang" w:hint="eastAsia"/>
        <w:i/>
        <w:iCs/>
      </w:rPr>
      <w:t>Praça Juscelino Kubitschek, 173 – Centro – 36</w:t>
    </w:r>
    <w:r w:rsidR="00CA024B">
      <w:rPr>
        <w:rFonts w:ascii="Batang" w:eastAsia="Batang" w:hAnsi="Batang" w:hint="eastAsia"/>
        <w:i/>
        <w:iCs/>
      </w:rPr>
      <w:t>.140-000 - Telef</w:t>
    </w:r>
    <w:r w:rsidR="00747AD9">
      <w:rPr>
        <w:rFonts w:ascii="Batang" w:eastAsia="Batang" w:hAnsi="Batang"/>
        <w:i/>
        <w:iCs/>
      </w:rPr>
      <w:t>one</w:t>
    </w:r>
    <w:r w:rsidR="00CA024B">
      <w:rPr>
        <w:rFonts w:ascii="Batang" w:eastAsia="Batang" w:hAnsi="Batang" w:hint="eastAsia"/>
        <w:i/>
        <w:iCs/>
      </w:rPr>
      <w:t>: (32) 3281-1</w:t>
    </w:r>
    <w:r w:rsidRPr="00C42CC2">
      <w:rPr>
        <w:rFonts w:ascii="Batang" w:eastAsia="Batang" w:hAnsi="Batang" w:hint="eastAsia"/>
        <w:i/>
        <w:iCs/>
      </w:rPr>
      <w:t>81</w:t>
    </w:r>
    <w:r w:rsidR="00CA024B">
      <w:rPr>
        <w:rFonts w:ascii="Batang" w:eastAsia="Batang" w:hAnsi="Batang"/>
        <w:i/>
        <w:iCs/>
      </w:rPr>
      <w:t>0</w:t>
    </w:r>
  </w:p>
  <w:p w:rsidR="00170DB4" w:rsidRPr="00C42CC2" w:rsidRDefault="00170DB4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</w:p>
  <w:p w:rsidR="00170DB4" w:rsidRDefault="00170DB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777"/>
    <w:rsid w:val="0000138F"/>
    <w:rsid w:val="00007ABD"/>
    <w:rsid w:val="0001694E"/>
    <w:rsid w:val="000207CF"/>
    <w:rsid w:val="000230F7"/>
    <w:rsid w:val="00031E55"/>
    <w:rsid w:val="00074AD4"/>
    <w:rsid w:val="000F09AC"/>
    <w:rsid w:val="00123B4B"/>
    <w:rsid w:val="00124FFC"/>
    <w:rsid w:val="001522F2"/>
    <w:rsid w:val="001527D9"/>
    <w:rsid w:val="0015496A"/>
    <w:rsid w:val="00170DB4"/>
    <w:rsid w:val="001B4E8D"/>
    <w:rsid w:val="002215F6"/>
    <w:rsid w:val="00266B14"/>
    <w:rsid w:val="00267677"/>
    <w:rsid w:val="002C2901"/>
    <w:rsid w:val="002D2274"/>
    <w:rsid w:val="002E7490"/>
    <w:rsid w:val="00306A96"/>
    <w:rsid w:val="00345595"/>
    <w:rsid w:val="0036055D"/>
    <w:rsid w:val="00370272"/>
    <w:rsid w:val="00383127"/>
    <w:rsid w:val="00384BC5"/>
    <w:rsid w:val="00403F13"/>
    <w:rsid w:val="00420D2C"/>
    <w:rsid w:val="00484389"/>
    <w:rsid w:val="004A4046"/>
    <w:rsid w:val="0055785B"/>
    <w:rsid w:val="00563ABD"/>
    <w:rsid w:val="00573777"/>
    <w:rsid w:val="005963A3"/>
    <w:rsid w:val="005A31F3"/>
    <w:rsid w:val="005E0865"/>
    <w:rsid w:val="00657B41"/>
    <w:rsid w:val="0066241C"/>
    <w:rsid w:val="0067106A"/>
    <w:rsid w:val="0067468D"/>
    <w:rsid w:val="0067516F"/>
    <w:rsid w:val="00692E53"/>
    <w:rsid w:val="00696F23"/>
    <w:rsid w:val="006F4E5B"/>
    <w:rsid w:val="00743227"/>
    <w:rsid w:val="00746902"/>
    <w:rsid w:val="00747AD9"/>
    <w:rsid w:val="00760D0E"/>
    <w:rsid w:val="007D7C6D"/>
    <w:rsid w:val="00811070"/>
    <w:rsid w:val="00814A76"/>
    <w:rsid w:val="0081765A"/>
    <w:rsid w:val="008914EB"/>
    <w:rsid w:val="008A2711"/>
    <w:rsid w:val="008D59CF"/>
    <w:rsid w:val="00931225"/>
    <w:rsid w:val="009335AD"/>
    <w:rsid w:val="00981F9E"/>
    <w:rsid w:val="009A040D"/>
    <w:rsid w:val="009A72D3"/>
    <w:rsid w:val="00A52793"/>
    <w:rsid w:val="00AF21EC"/>
    <w:rsid w:val="00AF56BF"/>
    <w:rsid w:val="00B21F62"/>
    <w:rsid w:val="00B60D46"/>
    <w:rsid w:val="00BD0E67"/>
    <w:rsid w:val="00C11487"/>
    <w:rsid w:val="00C22A2E"/>
    <w:rsid w:val="00C42CC2"/>
    <w:rsid w:val="00C66D34"/>
    <w:rsid w:val="00CA024B"/>
    <w:rsid w:val="00CA33F7"/>
    <w:rsid w:val="00CB1F28"/>
    <w:rsid w:val="00CF3BD2"/>
    <w:rsid w:val="00CF3DB1"/>
    <w:rsid w:val="00D07449"/>
    <w:rsid w:val="00E61604"/>
    <w:rsid w:val="00E70959"/>
    <w:rsid w:val="00EF2962"/>
    <w:rsid w:val="00F171BA"/>
    <w:rsid w:val="00F4437C"/>
    <w:rsid w:val="00F540FC"/>
    <w:rsid w:val="00F67896"/>
    <w:rsid w:val="00F95041"/>
    <w:rsid w:val="00F95459"/>
    <w:rsid w:val="00F957E2"/>
    <w:rsid w:val="00F96B11"/>
    <w:rsid w:val="00FB1E9D"/>
    <w:rsid w:val="00FB43FE"/>
    <w:rsid w:val="00FC6E8B"/>
    <w:rsid w:val="00FD5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paragraph" w:styleId="SemEspaamento">
    <w:name w:val="No Spacing"/>
    <w:uiPriority w:val="1"/>
    <w:qFormat/>
    <w:rsid w:val="00657B41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074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744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074A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paragraph" w:styleId="SemEspaamento">
    <w:name w:val="No Spacing"/>
    <w:uiPriority w:val="1"/>
    <w:qFormat/>
    <w:rsid w:val="00657B41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074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744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074A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05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6</Pages>
  <Words>1807</Words>
  <Characters>9759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Juridico01</cp:lastModifiedBy>
  <cp:revision>13</cp:revision>
  <cp:lastPrinted>2020-12-15T13:08:00Z</cp:lastPrinted>
  <dcterms:created xsi:type="dcterms:W3CDTF">2022-01-04T14:24:00Z</dcterms:created>
  <dcterms:modified xsi:type="dcterms:W3CDTF">2022-01-12T19:35:00Z</dcterms:modified>
</cp:coreProperties>
</file>